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jpeg" ContentType="image/jpe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lang w:val="en-US"/>
        </w:rPr>
      </w:pPr>
      <w:r>
        <w:rPr>
          <w:lang w:val="en-US"/>
        </w:rPr>
        <w:drawing>
          <wp:anchor behindDoc="0" distT="0" distB="0" distL="0" distR="0" simplePos="0" locked="0" layoutInCell="1" allowOverlap="1" relativeHeight="2">
            <wp:simplePos x="0" y="0"/>
            <wp:positionH relativeFrom="column">
              <wp:posOffset>2717800</wp:posOffset>
            </wp:positionH>
            <wp:positionV relativeFrom="paragraph">
              <wp:posOffset>-292735</wp:posOffset>
            </wp:positionV>
            <wp:extent cx="495300" cy="619125"/>
            <wp:effectExtent l="0" t="0" r="0" b="0"/>
            <wp:wrapNone/>
            <wp:docPr id="1" name="Рисунок 1" descr="герб Октябрьского района (для бла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 Октябрьского района (для бланка)"/>
                    <pic:cNvPicPr>
                      <a:picLocks noChangeAspect="1" noChangeArrowheads="1"/>
                    </pic:cNvPicPr>
                  </pic:nvPicPr>
                  <pic:blipFill>
                    <a:blip r:embed="rId2"/>
                    <a:stretch>
                      <a:fillRect/>
                    </a:stretch>
                  </pic:blipFill>
                  <pic:spPr bwMode="auto">
                    <a:xfrm>
                      <a:off x="0" y="0"/>
                      <a:ext cx="495300" cy="619125"/>
                    </a:xfrm>
                    <a:prstGeom prst="rect">
                      <a:avLst/>
                    </a:prstGeom>
                    <a:noFill/>
                  </pic:spPr>
                </pic:pic>
              </a:graphicData>
            </a:graphic>
          </wp:anchor>
        </w:drawing>
      </w:r>
    </w:p>
    <w:tbl>
      <w:tblPr>
        <w:tblW w:w="5000" w:type="pct"/>
        <w:jc w:val="left"/>
        <w:tblInd w:w="0" w:type="dxa"/>
        <w:tblLayout w:type="fixed"/>
        <w:tblCellMar>
          <w:top w:w="0" w:type="dxa"/>
          <w:left w:w="108" w:type="dxa"/>
          <w:bottom w:w="0" w:type="dxa"/>
          <w:right w:w="108" w:type="dxa"/>
        </w:tblCellMar>
        <w:tblLook w:val="01e0" w:noHBand="0" w:noVBand="0" w:firstColumn="1" w:lastRow="1" w:lastColumn="1" w:firstRow="1"/>
      </w:tblPr>
      <w:tblGrid>
        <w:gridCol w:w="215"/>
        <w:gridCol w:w="570"/>
        <w:gridCol w:w="224"/>
        <w:gridCol w:w="1477"/>
        <w:gridCol w:w="340"/>
        <w:gridCol w:w="423"/>
        <w:gridCol w:w="451"/>
        <w:gridCol w:w="1813"/>
        <w:gridCol w:w="1970"/>
        <w:gridCol w:w="435"/>
        <w:gridCol w:w="1719"/>
      </w:tblGrid>
      <w:tr>
        <w:trPr>
          <w:trHeight w:val="806" w:hRule="exact"/>
        </w:trPr>
        <w:tc>
          <w:tcPr>
            <w:tcW w:w="9637" w:type="dxa"/>
            <w:gridSpan w:val="11"/>
            <w:tcBorders/>
          </w:tcPr>
          <w:p>
            <w:pPr>
              <w:pStyle w:val="Normal"/>
              <w:jc w:val="center"/>
              <w:rPr>
                <w:rFonts w:ascii="Georgia" w:hAnsi="Georgia"/>
                <w:b/>
              </w:rPr>
            </w:pPr>
            <w:r>
              <w:rPr>
                <w:rFonts w:ascii="Georgia" w:hAnsi="Georgia"/>
                <w:b/>
              </w:rPr>
            </w:r>
          </w:p>
          <w:p>
            <w:pPr>
              <w:pStyle w:val="Normal"/>
              <w:jc w:val="center"/>
              <w:rPr>
                <w:rFonts w:ascii="Georgia" w:hAnsi="Georgia"/>
                <w:b/>
              </w:rPr>
            </w:pPr>
            <w:r>
              <w:rPr>
                <w:rFonts w:ascii="Georgia" w:hAnsi="Georgia"/>
                <w:b/>
              </w:rPr>
              <w:t>Муниципальное образование</w:t>
            </w:r>
          </w:p>
          <w:p>
            <w:pPr>
              <w:pStyle w:val="Normal"/>
              <w:jc w:val="center"/>
              <w:rPr>
                <w:rFonts w:ascii="Georgia" w:hAnsi="Georgia"/>
                <w:b/>
              </w:rPr>
            </w:pPr>
            <w:r>
              <w:rPr>
                <w:rFonts w:ascii="Georgia" w:hAnsi="Georgia"/>
                <w:b/>
              </w:rPr>
              <w:t>Октябрьский район</w:t>
            </w:r>
          </w:p>
          <w:p>
            <w:pPr>
              <w:pStyle w:val="Normal"/>
              <w:jc w:val="center"/>
              <w:rPr>
                <w:b/>
                <w:sz w:val="8"/>
                <w:szCs w:val="8"/>
                <w:lang w:val="en-US"/>
              </w:rPr>
            </w:pPr>
            <w:r>
              <w:rPr>
                <w:b/>
                <w:sz w:val="8"/>
                <w:szCs w:val="8"/>
                <w:lang w:val="en-US"/>
              </w:rPr>
            </w:r>
          </w:p>
          <w:p>
            <w:pPr>
              <w:pStyle w:val="Normal"/>
              <w:rPr>
                <w:b/>
                <w:sz w:val="26"/>
                <w:szCs w:val="26"/>
                <w:lang w:val="en-US"/>
              </w:rPr>
            </w:pPr>
            <w:r>
              <w:rPr>
                <w:b/>
                <w:sz w:val="26"/>
                <w:szCs w:val="26"/>
                <w:lang w:val="en-US"/>
              </w:rPr>
            </w:r>
          </w:p>
        </w:tc>
      </w:tr>
      <w:tr>
        <w:trPr>
          <w:trHeight w:val="1511" w:hRule="exact"/>
        </w:trPr>
        <w:tc>
          <w:tcPr>
            <w:tcW w:w="9637" w:type="dxa"/>
            <w:gridSpan w:val="11"/>
            <w:tcBorders>
              <w:bottom w:val="double" w:sz="4" w:space="0" w:color="000000"/>
            </w:tcBorders>
          </w:tcPr>
          <w:p>
            <w:pPr>
              <w:pStyle w:val="Normal"/>
              <w:jc w:val="center"/>
              <w:rPr>
                <w:b/>
                <w:spacing w:val="40"/>
                <w:sz w:val="28"/>
                <w:szCs w:val="28"/>
              </w:rPr>
            </w:pPr>
            <w:r>
              <w:rPr>
                <w:b/>
                <w:spacing w:val="40"/>
                <w:sz w:val="28"/>
                <w:szCs w:val="28"/>
              </w:rPr>
            </w:r>
          </w:p>
          <w:p>
            <w:pPr>
              <w:pStyle w:val="Normal"/>
              <w:jc w:val="center"/>
              <w:rPr>
                <w:b/>
                <w:spacing w:val="40"/>
                <w:sz w:val="28"/>
                <w:szCs w:val="28"/>
              </w:rPr>
            </w:pPr>
            <w:r>
              <w:rPr>
                <w:b/>
                <w:spacing w:val="40"/>
                <w:sz w:val="28"/>
                <w:szCs w:val="28"/>
              </w:rPr>
              <w:t>КОНТРОЛЬНО-СЧЕТНАЯ ПАЛАТА</w:t>
            </w:r>
          </w:p>
          <w:p>
            <w:pPr>
              <w:pStyle w:val="Normal"/>
              <w:jc w:val="center"/>
              <w:rPr>
                <w:b/>
                <w:sz w:val="8"/>
                <w:szCs w:val="8"/>
              </w:rPr>
            </w:pPr>
            <w:r>
              <w:rPr>
                <w:b/>
                <w:sz w:val="8"/>
                <w:szCs w:val="8"/>
              </w:rPr>
            </w:r>
          </w:p>
          <w:p>
            <w:pPr>
              <w:pStyle w:val="Normal"/>
              <w:jc w:val="center"/>
              <w:rPr>
                <w:sz w:val="20"/>
                <w:szCs w:val="20"/>
              </w:rPr>
            </w:pPr>
            <w:r>
              <w:rPr>
                <w:sz w:val="20"/>
                <w:szCs w:val="20"/>
              </w:rPr>
              <w:t>ул. Ленина, д. 40, пгт. Октябрьское, ХМАО-Югра, Тюменской обл., 628100</w:t>
            </w:r>
          </w:p>
          <w:p>
            <w:pPr>
              <w:pStyle w:val="Normal"/>
              <w:jc w:val="center"/>
              <w:rPr>
                <w:sz w:val="20"/>
                <w:szCs w:val="20"/>
                <w:lang w:val="de-DE"/>
              </w:rPr>
            </w:pPr>
            <w:r>
              <w:rPr>
                <w:sz w:val="20"/>
                <w:szCs w:val="20"/>
              </w:rPr>
              <w:t>тел</w:t>
            </w:r>
            <w:r>
              <w:rPr>
                <w:sz w:val="20"/>
                <w:szCs w:val="20"/>
                <w:lang w:val="de-DE"/>
              </w:rPr>
              <w:t xml:space="preserve">. (34678) 2-08-67, </w:t>
            </w:r>
            <w:r>
              <w:rPr>
                <w:sz w:val="20"/>
                <w:szCs w:val="20"/>
              </w:rPr>
              <w:t>факс</w:t>
            </w:r>
            <w:r>
              <w:rPr>
                <w:sz w:val="20"/>
                <w:szCs w:val="20"/>
                <w:lang w:val="de-DE"/>
              </w:rPr>
              <w:t xml:space="preserve"> (34678) 2-08-66</w:t>
            </w:r>
          </w:p>
          <w:p>
            <w:pPr>
              <w:pStyle w:val="Normal"/>
              <w:jc w:val="center"/>
              <w:rPr>
                <w:i/>
                <w:i/>
                <w:iCs/>
                <w:sz w:val="20"/>
                <w:szCs w:val="20"/>
                <w:lang w:val="de-DE"/>
              </w:rPr>
            </w:pPr>
            <w:r>
              <w:rPr>
                <w:i/>
                <w:iCs/>
                <w:sz w:val="20"/>
                <w:szCs w:val="20"/>
                <w:lang w:val="de-DE"/>
              </w:rPr>
              <w:t>e-mail: ksp-duma@oktregion.ru, http://www.oktregion.ru</w:t>
            </w:r>
          </w:p>
          <w:p>
            <w:pPr>
              <w:pStyle w:val="Normal"/>
              <w:jc w:val="center"/>
              <w:rPr>
                <w:b/>
                <w:sz w:val="26"/>
                <w:szCs w:val="26"/>
                <w:lang w:val="de-DE"/>
              </w:rPr>
            </w:pPr>
            <w:r>
              <w:rPr>
                <w:b/>
                <w:sz w:val="26"/>
                <w:szCs w:val="26"/>
                <w:lang w:val="de-DE"/>
              </w:rPr>
            </w:r>
          </w:p>
        </w:tc>
      </w:tr>
      <w:tr>
        <w:trPr>
          <w:trHeight w:val="454" w:hRule="exact"/>
        </w:trPr>
        <w:tc>
          <w:tcPr>
            <w:tcW w:w="215" w:type="dxa"/>
            <w:tcBorders>
              <w:top w:val="double" w:sz="4" w:space="0" w:color="000000"/>
            </w:tcBorders>
            <w:tcMar>
              <w:left w:w="0" w:type="dxa"/>
              <w:right w:w="0" w:type="dxa"/>
            </w:tcMar>
            <w:vAlign w:val="bottom"/>
          </w:tcPr>
          <w:p>
            <w:pPr>
              <w:pStyle w:val="Normal"/>
              <w:jc w:val="right"/>
              <w:rPr/>
            </w:pPr>
            <w:r>
              <w:rPr/>
              <w:t>«</w:t>
            </w:r>
          </w:p>
        </w:tc>
        <w:tc>
          <w:tcPr>
            <w:tcW w:w="570" w:type="dxa"/>
            <w:tcBorders>
              <w:top w:val="double" w:sz="4" w:space="0" w:color="000000"/>
              <w:bottom w:val="single" w:sz="4" w:space="0" w:color="000000"/>
            </w:tcBorders>
            <w:tcMar>
              <w:left w:w="0" w:type="dxa"/>
              <w:right w:w="0" w:type="dxa"/>
            </w:tcMar>
            <w:vAlign w:val="bottom"/>
          </w:tcPr>
          <w:p>
            <w:pPr>
              <w:pStyle w:val="Normal"/>
              <w:jc w:val="center"/>
              <w:rPr/>
            </w:pPr>
            <w:r>
              <w:rPr/>
              <w:t>26</w:t>
            </w:r>
          </w:p>
        </w:tc>
        <w:tc>
          <w:tcPr>
            <w:tcW w:w="224" w:type="dxa"/>
            <w:tcBorders>
              <w:top w:val="double" w:sz="4" w:space="0" w:color="000000"/>
            </w:tcBorders>
            <w:tcMar>
              <w:left w:w="0" w:type="dxa"/>
              <w:right w:w="0" w:type="dxa"/>
            </w:tcMar>
            <w:vAlign w:val="bottom"/>
          </w:tcPr>
          <w:p>
            <w:pPr>
              <w:pStyle w:val="Normal"/>
              <w:rPr/>
            </w:pPr>
            <w:r>
              <w:rPr/>
              <w:t>»</w:t>
            </w:r>
          </w:p>
        </w:tc>
        <w:tc>
          <w:tcPr>
            <w:tcW w:w="1477" w:type="dxa"/>
            <w:tcBorders>
              <w:top w:val="double" w:sz="4" w:space="0" w:color="000000"/>
              <w:bottom w:val="single" w:sz="4" w:space="0" w:color="000000"/>
            </w:tcBorders>
            <w:tcMar>
              <w:left w:w="0" w:type="dxa"/>
              <w:right w:w="0" w:type="dxa"/>
            </w:tcMar>
            <w:vAlign w:val="bottom"/>
          </w:tcPr>
          <w:p>
            <w:pPr>
              <w:pStyle w:val="Normal"/>
              <w:jc w:val="center"/>
              <w:rPr/>
            </w:pPr>
            <w:r>
              <w:rPr/>
              <w:t>марта</w:t>
            </w:r>
          </w:p>
        </w:tc>
        <w:tc>
          <w:tcPr>
            <w:tcW w:w="340" w:type="dxa"/>
            <w:tcBorders>
              <w:top w:val="double" w:sz="4" w:space="0" w:color="000000"/>
            </w:tcBorders>
            <w:tcMar>
              <w:left w:w="0" w:type="dxa"/>
              <w:right w:w="0" w:type="dxa"/>
            </w:tcMar>
            <w:vAlign w:val="bottom"/>
          </w:tcPr>
          <w:p>
            <w:pPr>
              <w:pStyle w:val="Normal"/>
              <w:ind w:right="-108"/>
              <w:jc w:val="right"/>
              <w:rPr/>
            </w:pPr>
            <w:r>
              <w:rPr/>
              <w:t>20</w:t>
            </w:r>
          </w:p>
        </w:tc>
        <w:tc>
          <w:tcPr>
            <w:tcW w:w="423" w:type="dxa"/>
            <w:tcBorders>
              <w:top w:val="double" w:sz="4" w:space="0" w:color="000000"/>
            </w:tcBorders>
            <w:tcMar>
              <w:left w:w="0" w:type="dxa"/>
              <w:right w:w="0" w:type="dxa"/>
            </w:tcMar>
            <w:vAlign w:val="bottom"/>
          </w:tcPr>
          <w:p>
            <w:pPr>
              <w:pStyle w:val="Normal"/>
              <w:ind w:right="-373"/>
              <w:rPr/>
            </w:pPr>
            <w:r>
              <w:rPr/>
              <w:t>026</w:t>
            </w:r>
          </w:p>
        </w:tc>
        <w:tc>
          <w:tcPr>
            <w:tcW w:w="451" w:type="dxa"/>
            <w:tcBorders>
              <w:top w:val="double" w:sz="4" w:space="0" w:color="000000"/>
            </w:tcBorders>
            <w:tcMar>
              <w:left w:w="0" w:type="dxa"/>
              <w:right w:w="0" w:type="dxa"/>
            </w:tcMar>
            <w:vAlign w:val="bottom"/>
          </w:tcPr>
          <w:p>
            <w:pPr>
              <w:pStyle w:val="Normal"/>
              <w:rPr/>
            </w:pPr>
            <w:r>
              <w:rPr/>
              <w:t xml:space="preserve"> </w:t>
            </w:r>
            <w:r>
              <w:rPr/>
              <w:t>г.</w:t>
            </w:r>
          </w:p>
        </w:tc>
        <w:tc>
          <w:tcPr>
            <w:tcW w:w="3783" w:type="dxa"/>
            <w:gridSpan w:val="2"/>
            <w:tcBorders>
              <w:top w:val="double" w:sz="4" w:space="0" w:color="000000"/>
            </w:tcBorders>
            <w:vAlign w:val="bottom"/>
          </w:tcPr>
          <w:p>
            <w:pPr>
              <w:pStyle w:val="Normal"/>
              <w:ind w:left="211"/>
              <w:rPr/>
            </w:pPr>
            <w:r>
              <w:rPr/>
            </w:r>
          </w:p>
        </w:tc>
        <w:tc>
          <w:tcPr>
            <w:tcW w:w="435" w:type="dxa"/>
            <w:tcBorders>
              <w:top w:val="double" w:sz="4" w:space="0" w:color="000000"/>
            </w:tcBorders>
            <w:vAlign w:val="bottom"/>
          </w:tcPr>
          <w:p>
            <w:pPr>
              <w:pStyle w:val="Normal"/>
              <w:jc w:val="center"/>
              <w:rPr/>
            </w:pPr>
            <w:r>
              <w:rPr/>
              <w:t>№</w:t>
            </w:r>
          </w:p>
        </w:tc>
        <w:tc>
          <w:tcPr>
            <w:tcW w:w="1719" w:type="dxa"/>
            <w:tcBorders>
              <w:top w:val="double" w:sz="4" w:space="0" w:color="000000"/>
              <w:bottom w:val="single" w:sz="4" w:space="0" w:color="000000"/>
            </w:tcBorders>
            <w:vAlign w:val="bottom"/>
          </w:tcPr>
          <w:p>
            <w:pPr>
              <w:pStyle w:val="Normal"/>
              <w:jc w:val="center"/>
              <w:rPr/>
            </w:pPr>
            <w:r>
              <w:rPr/>
              <w:t>81</w:t>
            </w:r>
          </w:p>
        </w:tc>
      </w:tr>
      <w:tr>
        <w:trPr>
          <w:trHeight w:val="2623" w:hRule="exact"/>
        </w:trPr>
        <w:tc>
          <w:tcPr>
            <w:tcW w:w="5513" w:type="dxa"/>
            <w:gridSpan w:val="8"/>
            <w:tcBorders/>
          </w:tcPr>
          <w:p>
            <w:pPr>
              <w:pStyle w:val="Normal"/>
              <w:tabs>
                <w:tab w:val="clear" w:pos="708"/>
                <w:tab w:val="right" w:pos="5421" w:leader="none"/>
              </w:tabs>
              <w:rPr/>
            </w:pPr>
            <w:r>
              <w:rPr/>
              <w:t>пгт. Октябрьское</w:t>
            </w:r>
          </w:p>
          <w:p>
            <w:pPr>
              <w:pStyle w:val="Normal"/>
              <w:rPr/>
            </w:pPr>
            <w:r>
              <w:rPr/>
            </w:r>
          </w:p>
        </w:tc>
        <w:tc>
          <w:tcPr>
            <w:tcW w:w="4124" w:type="dxa"/>
            <w:gridSpan w:val="3"/>
            <w:tcBorders/>
            <w:tcMar>
              <w:top w:w="227" w:type="dxa"/>
            </w:tcMar>
          </w:tcPr>
          <w:p>
            <w:pPr>
              <w:pStyle w:val="Normal"/>
              <w:rPr/>
            </w:pPr>
            <w:r>
              <w:rPr/>
              <w:t>Председателю Совета депутатов городского поселения Талинка</w:t>
            </w:r>
          </w:p>
          <w:p>
            <w:pPr>
              <w:pStyle w:val="Normal"/>
              <w:rPr/>
            </w:pPr>
            <w:r>
              <w:rPr/>
              <w:t>О.А. Гребенниковой</w:t>
            </w:r>
          </w:p>
          <w:p>
            <w:pPr>
              <w:pStyle w:val="Normal"/>
              <w:rPr/>
            </w:pPr>
            <w:r>
              <w:rPr/>
            </w:r>
          </w:p>
          <w:p>
            <w:pPr>
              <w:pStyle w:val="Normal"/>
              <w:rPr/>
            </w:pPr>
            <w:r>
              <w:rPr/>
              <w:t>Главе городского поселения Талинка</w:t>
            </w:r>
          </w:p>
          <w:p>
            <w:pPr>
              <w:pStyle w:val="Normal"/>
              <w:rPr>
                <w:lang w:val="en-US"/>
              </w:rPr>
            </w:pPr>
            <w:r>
              <w:rPr/>
              <w:t>А.В. Останину</w:t>
            </w:r>
          </w:p>
          <w:p>
            <w:pPr>
              <w:pStyle w:val="Normal"/>
              <w:rPr/>
            </w:pPr>
            <w:r>
              <w:rPr/>
            </w:r>
          </w:p>
        </w:tc>
      </w:tr>
    </w:tbl>
    <w:p>
      <w:pPr>
        <w:pStyle w:val="Normal"/>
        <w:jc w:val="center"/>
        <w:rPr>
          <w:b/>
        </w:rPr>
      </w:pPr>
      <w:r>
        <w:rPr>
          <w:b/>
        </w:rPr>
        <w:t>Заключение</w:t>
      </w:r>
    </w:p>
    <w:p>
      <w:pPr>
        <w:pStyle w:val="Normal"/>
        <w:jc w:val="center"/>
        <w:rPr>
          <w:b/>
        </w:rPr>
      </w:pPr>
      <w:r>
        <w:rPr>
          <w:b/>
        </w:rPr>
        <w:t xml:space="preserve">по результатам внешней проверки годового отчета об исполнении бюджета </w:t>
      </w:r>
    </w:p>
    <w:p>
      <w:pPr>
        <w:pStyle w:val="Normal"/>
        <w:jc w:val="center"/>
        <w:rPr>
          <w:b/>
        </w:rPr>
      </w:pPr>
      <w:r>
        <w:rPr>
          <w:b/>
        </w:rPr>
        <w:t>муниципального образования городское поселение Талинка, годовой бюджетной отчетности главных администраторов бюджетных средств городского поселения Талинка за 2025 год</w:t>
      </w:r>
    </w:p>
    <w:p>
      <w:pPr>
        <w:pStyle w:val="Normal"/>
        <w:jc w:val="center"/>
        <w:rPr/>
      </w:pPr>
      <w:r>
        <w:rPr/>
      </w:r>
    </w:p>
    <w:p>
      <w:pPr>
        <w:pStyle w:val="Normal"/>
        <w:ind w:firstLine="284"/>
        <w:jc w:val="center"/>
        <w:rPr>
          <w:b/>
        </w:rPr>
      </w:pPr>
      <w:r>
        <w:rPr>
          <w:b/>
        </w:rPr>
        <w:t>1. Общие положения</w:t>
      </w:r>
    </w:p>
    <w:p>
      <w:pPr>
        <w:pStyle w:val="Normal"/>
        <w:numPr>
          <w:ilvl w:val="1"/>
          <w:numId w:val="1"/>
        </w:numPr>
        <w:tabs>
          <w:tab w:val="clear" w:pos="708"/>
          <w:tab w:val="left" w:pos="1276" w:leader="none"/>
        </w:tabs>
        <w:ind w:firstLine="708" w:left="0"/>
        <w:jc w:val="both"/>
        <w:rPr/>
      </w:pPr>
      <w:r>
        <w:rPr/>
        <w:t>Внешняя проверка годового отчета об исполнении бюджета муниципального образования городское поселение Талинка, годовой бюджетной отчетности главных администраторов бюджетных средств городского поселения Талинка за 2025 год (далее – внешняя проверка) проведена в соответствии со ст. 157, 264.4 Бюджетного кодекса Российской Федерации (далее – БК РФ), п. 11 ст. 8 Положения о Контрольно-счетной палате Октябрьского района, утвержденного решением Думы Октябрьского района от 23.09.2011 №186, на основании Соглашения с Советом депутатов городского поселения Талинка, плана работы Контрольно-счетной палаты на 2026 год.</w:t>
      </w:r>
    </w:p>
    <w:p>
      <w:pPr>
        <w:pStyle w:val="Normal"/>
        <w:numPr>
          <w:ilvl w:val="1"/>
          <w:numId w:val="1"/>
        </w:numPr>
        <w:tabs>
          <w:tab w:val="clear" w:pos="708"/>
          <w:tab w:val="left" w:pos="1276" w:leader="none"/>
        </w:tabs>
        <w:ind w:firstLine="708" w:left="0"/>
        <w:jc w:val="both"/>
        <w:rPr/>
      </w:pPr>
      <w:r>
        <w:rPr/>
        <w:t>Целью внешней проверки является проверка годового отчета, годовой бюджетной отчетности главных администраторов бюджетных средств городского поселения Талинка за 2025 год на соответствие бюджетному законодательству Российской Федерации, нормативным правовым актам Министерства финансов Российской Федерации, устанавливающим единую методологию и стандарты бюджетного учета и бюджетной отчетности, бюджетному законодательству Ханты-Мансийского автономного округа – Югры, муниципальным правовым актам Октябрьского района, муниципальным правовым актам городского поселения Талинка.</w:t>
      </w:r>
    </w:p>
    <w:p>
      <w:pPr>
        <w:pStyle w:val="Normal"/>
        <w:numPr>
          <w:ilvl w:val="1"/>
          <w:numId w:val="1"/>
        </w:numPr>
        <w:tabs>
          <w:tab w:val="clear" w:pos="708"/>
          <w:tab w:val="left" w:pos="1276" w:leader="none"/>
        </w:tabs>
        <w:ind w:firstLine="708" w:left="0"/>
        <w:jc w:val="both"/>
        <w:rPr/>
      </w:pPr>
      <w:r>
        <w:rPr/>
        <w:t>Задачами внешней проверки являются оценка соответствия правовой базы, регламентирующей исполнение бюджета поселения, бюджетному законодательству, анализ исполнения бюджетных назначений и подготовка заключения на годовой отчет об исполнении бюджета муниципального образования за 2025 год.</w:t>
      </w:r>
    </w:p>
    <w:p>
      <w:pPr>
        <w:pStyle w:val="Normal"/>
        <w:ind w:firstLine="708"/>
        <w:jc w:val="both"/>
        <w:rPr/>
      </w:pPr>
      <w:r>
        <w:rPr/>
        <w:t>1.4. Внешняя проверка произведена на основании документов и материалов, представленных администрацией городского поселения Талинка 16.03.2026, в том числе:</w:t>
      </w:r>
    </w:p>
    <w:p>
      <w:pPr>
        <w:pStyle w:val="Normal"/>
        <w:ind w:firstLine="708"/>
        <w:jc w:val="both"/>
        <w:rPr/>
      </w:pPr>
      <w:r>
        <w:rPr/>
        <w:t xml:space="preserve">- годовая бюджетная отчетность администрации городского поселения Талинка (далее – годовая бюджетная отчетность), составляемая в соответствии с приказом Министерства финансов РФ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РФ» (далее - Инструкция № 191н); </w:t>
      </w:r>
    </w:p>
    <w:p>
      <w:pPr>
        <w:pStyle w:val="Normal"/>
        <w:ind w:firstLine="708"/>
        <w:jc w:val="both"/>
        <w:rPr/>
      </w:pPr>
      <w:r>
        <w:rPr/>
        <w:t>- проект решения Совета депутатов городского поселения Талинка «Об исполнении бюджета муниципального образования городское поселение Талинка за 2025 год» (далее – годовой отчет об исполнении бюджета);</w:t>
      </w:r>
    </w:p>
    <w:p>
      <w:pPr>
        <w:pStyle w:val="Normal"/>
        <w:ind w:firstLine="708"/>
        <w:jc w:val="both"/>
        <w:rPr/>
      </w:pPr>
      <w:r>
        <w:rPr/>
        <w:t>- прочие нормативные правовые акты и материалы, представленные администрацией городского поселения по запросу Контрольно-счетной палаты.</w:t>
      </w:r>
    </w:p>
    <w:p>
      <w:pPr>
        <w:pStyle w:val="Normal"/>
        <w:ind w:firstLine="708"/>
        <w:jc w:val="both"/>
        <w:rPr/>
      </w:pPr>
      <w:r>
        <w:rPr/>
        <w:t xml:space="preserve">1.5. Внешняя проверка проводилась выборочным методом. В ходе проверки использовались аналитические процедуры: анализ, сопоставление, группировка данных. </w:t>
      </w:r>
    </w:p>
    <w:p>
      <w:pPr>
        <w:pStyle w:val="Normal"/>
        <w:ind w:firstLine="708"/>
        <w:jc w:val="both"/>
        <w:rPr/>
      </w:pPr>
      <w:r>
        <w:rPr/>
      </w:r>
    </w:p>
    <w:p>
      <w:pPr>
        <w:pStyle w:val="Normal"/>
        <w:ind w:firstLine="284"/>
        <w:jc w:val="center"/>
        <w:rPr>
          <w:b/>
        </w:rPr>
      </w:pPr>
      <w:r>
        <w:rPr>
          <w:b/>
        </w:rPr>
        <w:t>2. Оценка соответствия правовой базы, регламентирующей исполнение бюджета, бюджетному законодательству</w:t>
      </w:r>
    </w:p>
    <w:p>
      <w:pPr>
        <w:pStyle w:val="Normal"/>
        <w:ind w:firstLine="284"/>
        <w:jc w:val="center"/>
        <w:rPr>
          <w:b/>
        </w:rPr>
      </w:pPr>
      <w:r>
        <w:rPr>
          <w:b/>
        </w:rPr>
      </w:r>
    </w:p>
    <w:p>
      <w:pPr>
        <w:pStyle w:val="Normal"/>
        <w:ind w:firstLine="708"/>
        <w:jc w:val="both"/>
        <w:rPr>
          <w:bCs/>
        </w:rPr>
      </w:pPr>
      <w:r>
        <w:rPr>
          <w:bCs/>
        </w:rPr>
        <w:t xml:space="preserve">2.1. Утверждение бюджета поселения на 2025 год обеспечено до начала финансового года. Бюджет городского поселения Талинка утвержден решением Совета депутатов городского поселения Талинка от 19.12.2024 № 48 «О бюджете муниципального образования городское поселение Талинка на 2025 год и на плановый период 2026 и 2027 годов» (далее – Решение о бюджете). Предельные значения его параметров, установленные Бюджетным кодексом РФ, соблюдены. </w:t>
      </w:r>
    </w:p>
    <w:p>
      <w:pPr>
        <w:pStyle w:val="BodyText"/>
        <w:tabs>
          <w:tab w:val="clear" w:pos="708"/>
          <w:tab w:val="left" w:pos="765" w:leader="none"/>
          <w:tab w:val="center" w:pos="4819" w:leader="none"/>
        </w:tabs>
        <w:rPr>
          <w:sz w:val="24"/>
          <w:szCs w:val="24"/>
        </w:rPr>
      </w:pPr>
      <w:r>
        <w:rPr>
          <w:sz w:val="24"/>
          <w:szCs w:val="24"/>
        </w:rPr>
        <w:tab/>
        <w:t xml:space="preserve">2.2. В соответствии со ст. 9, 21 БК РФ перечень и коды целевых статей расходов бюджетов устанавливаются финансовым органом, осуществляющим составление и организацию исполнения бюджета, если иное не установлено настоящим Кодексом.  Указания об установлении структуры, перечня и кодов целевых статей расходов бюджета городского поселения Талинка, а также особенностей применения отдельных видов расходов бюджета поселения утверждены распоряжением администрации поселения от 28.12.2024 №244 (в ред. 09.12.2025 №225) (далее – Распоряжение №244). </w:t>
      </w:r>
    </w:p>
    <w:p>
      <w:pPr>
        <w:pStyle w:val="Normal"/>
        <w:ind w:firstLine="708"/>
        <w:jc w:val="both"/>
        <w:rPr>
          <w:bCs/>
        </w:rPr>
      </w:pPr>
      <w:r>
        <w:rPr>
          <w:bCs/>
        </w:rPr>
        <w:t>Необходимо отметить низкое качество разработки Распоряжения №244, например:</w:t>
      </w:r>
    </w:p>
    <w:p>
      <w:pPr>
        <w:pStyle w:val="Normal"/>
        <w:ind w:firstLine="708"/>
        <w:jc w:val="both"/>
        <w:rPr>
          <w:bCs/>
        </w:rPr>
      </w:pPr>
      <w:r>
        <w:rPr>
          <w:bCs/>
        </w:rPr>
        <w:t>- Решением о бюджете утверждены расходы на создание и содержание резервов материальных ресурсов (запасов) для предупреждения, ликвидации чрезвычайных ситуаций по целевой статье 4020020030, в Распоряжении №244 указанная целевая статья отсутствует;</w:t>
      </w:r>
    </w:p>
    <w:p>
      <w:pPr>
        <w:pStyle w:val="Normal"/>
        <w:ind w:firstLine="708"/>
        <w:jc w:val="both"/>
        <w:rPr>
          <w:bCs/>
        </w:rPr>
      </w:pPr>
      <w:r>
        <w:rPr>
          <w:bCs/>
        </w:rPr>
        <w:t>- в Распоряжении №244 в наименовании целевой статьи 4060089108 указано «муниципальная программа «Развитие жилищно-коммунального хозяйства в муниципальном образовании Октябрьский район», при данная целевая статья предназначена для расходов, финансируемых за счет средств бюджета района, и утверждается приказом Комитета по управлению муниципальными финансами администрации Октябрьского района.</w:t>
      </w:r>
    </w:p>
    <w:p>
      <w:pPr>
        <w:pStyle w:val="Normal"/>
        <w:ind w:firstLine="284"/>
        <w:jc w:val="center"/>
        <w:rPr>
          <w:b/>
        </w:rPr>
      </w:pPr>
      <w:r>
        <w:rPr>
          <w:b/>
        </w:rPr>
      </w:r>
    </w:p>
    <w:p>
      <w:pPr>
        <w:pStyle w:val="Normal"/>
        <w:ind w:firstLine="284"/>
        <w:jc w:val="center"/>
        <w:rPr>
          <w:b/>
        </w:rPr>
      </w:pPr>
      <w:r>
        <w:rPr>
          <w:b/>
        </w:rPr>
        <w:t>3.Анализ исполнения бюджетных назначений</w:t>
      </w:r>
    </w:p>
    <w:p>
      <w:pPr>
        <w:pStyle w:val="Normal"/>
        <w:ind w:firstLine="708"/>
        <w:jc w:val="both"/>
        <w:rPr>
          <w:b/>
          <w:bCs/>
        </w:rPr>
      </w:pPr>
      <w:r>
        <w:rPr>
          <w:b/>
          <w:bCs/>
        </w:rPr>
        <w:t>3.1. Основные параметры бюджета.</w:t>
      </w:r>
    </w:p>
    <w:p>
      <w:pPr>
        <w:pStyle w:val="Normal"/>
        <w:ind w:firstLine="708"/>
        <w:jc w:val="both"/>
        <w:rPr>
          <w:bCs/>
        </w:rPr>
      </w:pPr>
      <w:r>
        <w:rPr>
          <w:bCs/>
        </w:rPr>
      </w:r>
    </w:p>
    <w:p>
      <w:pPr>
        <w:pStyle w:val="Normal"/>
        <w:ind w:firstLine="708"/>
        <w:jc w:val="both"/>
        <w:rPr>
          <w:bCs/>
        </w:rPr>
      </w:pPr>
      <w:r>
        <w:rPr>
          <w:bCs/>
        </w:rPr>
        <w:t xml:space="preserve">Бюджетные назначения по доходам, расходам, источникам внутреннего финансирования дефицита бюджета утверждены Решением о бюджете от 19.12.2024 №48 (далее – Утвержденные назначения). В течение отчетного года основные показатели бюджета уточнены 7 раз решениями Совета депутатов </w:t>
      </w:r>
      <w:r>
        <w:rPr/>
        <w:t>от 18.02.2025 №04, от 01.04.2025 №09, от 20.06.2025 №18, от 23.09.2025 №26, от 09.10.2025 №27, от 09.12.2025 №34, от 23.12.2025 №37</w:t>
      </w:r>
      <w:r>
        <w:rPr>
          <w:bCs/>
        </w:rPr>
        <w:t>. В результате внесенных изменений, бюджетные назначения по доходам бюджета увеличены на 90,3%, по расходам – на 95,3%, запланирован дефицит бюджета в сумме 4 770,9 тыс. руб. (далее – Уточненные назначения).</w:t>
      </w:r>
    </w:p>
    <w:p>
      <w:pPr>
        <w:pStyle w:val="Normal"/>
        <w:ind w:firstLine="708"/>
        <w:jc w:val="both"/>
        <w:rPr>
          <w:bCs/>
        </w:rPr>
      </w:pPr>
      <w:r>
        <w:rPr>
          <w:bCs/>
        </w:rPr>
        <w:t>Анализ динамики и исполнения основных параметров бюджета приведен в Таблице №1:</w:t>
      </w:r>
    </w:p>
    <w:p>
      <w:pPr>
        <w:pStyle w:val="Normal"/>
        <w:ind w:firstLine="708"/>
        <w:jc w:val="both"/>
        <w:rPr>
          <w:bCs/>
        </w:rPr>
      </w:pPr>
      <w:r>
        <w:rPr>
          <w:bCs/>
        </w:rPr>
      </w:r>
    </w:p>
    <w:p>
      <w:pPr>
        <w:pStyle w:val="Normal"/>
        <w:ind w:firstLine="708"/>
        <w:jc w:val="both"/>
        <w:rPr>
          <w:bCs/>
        </w:rPr>
      </w:pPr>
      <w:r>
        <w:rPr>
          <w:bCs/>
        </w:rPr>
      </w:r>
    </w:p>
    <w:p>
      <w:pPr>
        <w:pStyle w:val="Normal"/>
        <w:ind w:firstLine="708"/>
        <w:jc w:val="right"/>
        <w:rPr>
          <w:bCs/>
        </w:rPr>
      </w:pPr>
      <w:r>
        <w:rPr>
          <w:bCs/>
        </w:rPr>
        <w:t>Таблица №1</w:t>
      </w:r>
    </w:p>
    <w:tbl>
      <w:tblPr>
        <w:tblW w:w="9644" w:type="dxa"/>
        <w:jc w:val="left"/>
        <w:tblInd w:w="103" w:type="dxa"/>
        <w:tblLayout w:type="fixed"/>
        <w:tblCellMar>
          <w:top w:w="0" w:type="dxa"/>
          <w:left w:w="108" w:type="dxa"/>
          <w:bottom w:w="0" w:type="dxa"/>
          <w:right w:w="108" w:type="dxa"/>
        </w:tblCellMar>
        <w:tblLook w:val="00a0" w:noHBand="0" w:noVBand="0" w:firstColumn="1" w:lastRow="0" w:lastColumn="0" w:firstRow="1"/>
      </w:tblPr>
      <w:tblGrid>
        <w:gridCol w:w="1706"/>
        <w:gridCol w:w="1701"/>
        <w:gridCol w:w="1701"/>
        <w:gridCol w:w="851"/>
        <w:gridCol w:w="1275"/>
        <w:gridCol w:w="850"/>
        <w:gridCol w:w="768"/>
        <w:gridCol w:w="790"/>
      </w:tblGrid>
      <w:tr>
        <w:trPr>
          <w:trHeight w:val="321" w:hRule="atLeast"/>
        </w:trPr>
        <w:tc>
          <w:tcPr>
            <w:tcW w:w="170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jc w:val="center"/>
              <w:rPr>
                <w:color w:val="000000"/>
              </w:rPr>
            </w:pPr>
            <w:r>
              <w:rPr>
                <w:color w:val="000000"/>
                <w:sz w:val="22"/>
                <w:szCs w:val="22"/>
              </w:rPr>
              <w:t>Показатели</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rPr>
                <w:color w:val="000000"/>
              </w:rPr>
            </w:pPr>
            <w:r>
              <w:rPr>
                <w:color w:val="000000"/>
                <w:sz w:val="22"/>
                <w:szCs w:val="22"/>
              </w:rPr>
              <w:t>Утвержденные назначения, тыс. руб. (РСД от 19.12.2024 № 48)</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rPr>
                <w:color w:val="000000"/>
              </w:rPr>
            </w:pPr>
            <w:r>
              <w:rPr>
                <w:color w:val="000000"/>
                <w:sz w:val="22"/>
                <w:szCs w:val="22"/>
              </w:rPr>
              <w:t>Уточненные назначения, тыс. руб. (РСД от 23.12.2025 № 37)</w:t>
            </w:r>
          </w:p>
        </w:tc>
        <w:tc>
          <w:tcPr>
            <w:tcW w:w="85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jc w:val="center"/>
              <w:rPr>
                <w:color w:val="000000"/>
              </w:rPr>
            </w:pPr>
            <w:r>
              <w:rPr>
                <w:color w:val="000000"/>
                <w:sz w:val="22"/>
                <w:szCs w:val="22"/>
              </w:rPr>
              <w:t>Отклонение, %</w:t>
            </w:r>
          </w:p>
        </w:tc>
        <w:tc>
          <w:tcPr>
            <w:tcW w:w="3683" w:type="dxa"/>
            <w:gridSpan w:val="4"/>
            <w:tcBorders>
              <w:top w:val="single" w:sz="4" w:space="0" w:color="000000"/>
              <w:left w:val="single" w:sz="4" w:space="0" w:color="000000"/>
              <w:bottom w:val="single" w:sz="4" w:space="0" w:color="000000"/>
              <w:right w:val="single" w:sz="4" w:space="0" w:color="000000"/>
            </w:tcBorders>
            <w:vAlign w:val="center"/>
          </w:tcPr>
          <w:p>
            <w:pPr>
              <w:pStyle w:val="Normal"/>
              <w:jc w:val="center"/>
              <w:rPr>
                <w:color w:val="000000"/>
              </w:rPr>
            </w:pPr>
            <w:r>
              <w:rPr>
                <w:color w:val="000000"/>
                <w:sz w:val="22"/>
                <w:szCs w:val="22"/>
              </w:rPr>
              <w:t>Исполнение</w:t>
            </w:r>
          </w:p>
        </w:tc>
      </w:tr>
      <w:tr>
        <w:trPr>
          <w:trHeight w:val="980" w:hRule="atLeast"/>
        </w:trPr>
        <w:tc>
          <w:tcPr>
            <w:tcW w:w="170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rPr>
                <w:color w:val="000000"/>
              </w:rPr>
            </w:pPr>
            <w:r>
              <w:rPr>
                <w:color w:val="000000"/>
              </w:rPr>
            </w:r>
          </w:p>
        </w:tc>
        <w:tc>
          <w:tcPr>
            <w:tcW w:w="1701" w:type="dxa"/>
            <w:vMerge w:val="continue"/>
            <w:tcBorders>
              <w:left w:val="single" w:sz="4" w:space="0" w:color="000000"/>
              <w:bottom w:val="single" w:sz="4" w:space="0" w:color="000000"/>
              <w:right w:val="single" w:sz="4" w:space="0" w:color="000000"/>
            </w:tcBorders>
            <w:vAlign w:val="center"/>
          </w:tcPr>
          <w:p>
            <w:pPr>
              <w:pStyle w:val="Normal"/>
              <w:rPr>
                <w:color w:val="000000"/>
              </w:rPr>
            </w:pPr>
            <w:r>
              <w:rPr>
                <w:color w:val="000000"/>
              </w:rPr>
            </w:r>
          </w:p>
        </w:tc>
        <w:tc>
          <w:tcPr>
            <w:tcW w:w="1701" w:type="dxa"/>
            <w:vMerge w:val="continue"/>
            <w:tcBorders>
              <w:left w:val="single" w:sz="4" w:space="0" w:color="000000"/>
              <w:bottom w:val="single" w:sz="4" w:space="0" w:color="000000"/>
              <w:right w:val="single" w:sz="4" w:space="0" w:color="000000"/>
            </w:tcBorders>
            <w:vAlign w:val="center"/>
          </w:tcPr>
          <w:p>
            <w:pPr>
              <w:pStyle w:val="Normal"/>
              <w:rPr>
                <w:color w:val="000000"/>
              </w:rPr>
            </w:pPr>
            <w:r>
              <w:rPr>
                <w:color w:val="000000"/>
              </w:rPr>
            </w:r>
          </w:p>
        </w:tc>
        <w:tc>
          <w:tcPr>
            <w:tcW w:w="85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jc w:val="center"/>
              <w:rPr>
                <w:color w:val="000000"/>
              </w:rPr>
            </w:pPr>
            <w:r>
              <w:rPr>
                <w:color w:val="000000"/>
              </w:rPr>
            </w:r>
          </w:p>
        </w:tc>
        <w:tc>
          <w:tcPr>
            <w:tcW w:w="1275" w:type="dxa"/>
            <w:tcBorders>
              <w:top w:val="single" w:sz="4" w:space="0" w:color="000000"/>
              <w:left w:val="single" w:sz="4" w:space="0" w:color="000000"/>
              <w:bottom w:val="single" w:sz="4" w:space="0" w:color="000000"/>
              <w:right w:val="single" w:sz="4" w:space="0" w:color="000000"/>
            </w:tcBorders>
            <w:vAlign w:val="center"/>
          </w:tcPr>
          <w:p>
            <w:pPr>
              <w:pStyle w:val="Normal"/>
              <w:rPr>
                <w:color w:val="000000"/>
              </w:rPr>
            </w:pPr>
            <w:r>
              <w:rPr>
                <w:color w:val="000000"/>
                <w:sz w:val="22"/>
                <w:szCs w:val="22"/>
              </w:rPr>
              <w:t>тыс. руб.</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color w:val="000000"/>
              </w:rPr>
            </w:pPr>
            <w:r>
              <w:rPr>
                <w:color w:val="000000"/>
                <w:sz w:val="22"/>
                <w:szCs w:val="22"/>
              </w:rPr>
              <w:t>к РСД №48, %</w:t>
            </w:r>
          </w:p>
        </w:tc>
        <w:tc>
          <w:tcPr>
            <w:tcW w:w="76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color w:val="000000"/>
              </w:rPr>
            </w:pPr>
            <w:r>
              <w:rPr>
                <w:color w:val="000000"/>
                <w:sz w:val="22"/>
                <w:szCs w:val="22"/>
              </w:rPr>
              <w:t>к РСД №37, %</w:t>
            </w:r>
          </w:p>
        </w:tc>
        <w:tc>
          <w:tcPr>
            <w:tcW w:w="790" w:type="dxa"/>
            <w:tcBorders>
              <w:top w:val="single" w:sz="4" w:space="0" w:color="000000"/>
              <w:left w:val="single" w:sz="4" w:space="0" w:color="000000"/>
              <w:bottom w:val="single" w:sz="4" w:space="0" w:color="000000"/>
              <w:right w:val="single" w:sz="4" w:space="0" w:color="000000"/>
            </w:tcBorders>
            <w:vAlign w:val="center"/>
          </w:tcPr>
          <w:p>
            <w:pPr>
              <w:pStyle w:val="Normal"/>
              <w:jc w:val="center"/>
              <w:rPr>
                <w:color w:val="000000"/>
              </w:rPr>
            </w:pPr>
            <w:r>
              <w:rPr>
                <w:color w:val="000000"/>
                <w:sz w:val="22"/>
                <w:szCs w:val="22"/>
              </w:rPr>
              <w:t>к 2024 году, %</w:t>
            </w:r>
          </w:p>
        </w:tc>
      </w:tr>
      <w:tr>
        <w:trPr>
          <w:trHeight w:val="425" w:hRule="atLeast"/>
        </w:trPr>
        <w:tc>
          <w:tcPr>
            <w:tcW w:w="1706" w:type="dxa"/>
            <w:tcBorders>
              <w:top w:val="single" w:sz="4" w:space="0" w:color="000000"/>
              <w:left w:val="single" w:sz="4" w:space="0" w:color="000000"/>
              <w:bottom w:val="single" w:sz="4" w:space="0" w:color="000000"/>
              <w:right w:val="single" w:sz="4" w:space="0" w:color="000000"/>
            </w:tcBorders>
            <w:vAlign w:val="center"/>
          </w:tcPr>
          <w:p>
            <w:pPr>
              <w:pStyle w:val="Normal"/>
              <w:rPr>
                <w:color w:val="000000"/>
              </w:rPr>
            </w:pPr>
            <w:r>
              <w:rPr>
                <w:color w:val="000000"/>
              </w:rPr>
              <w:t>Доходы бюджета</w:t>
            </w:r>
          </w:p>
        </w:tc>
        <w:tc>
          <w:tcPr>
            <w:tcW w:w="1701" w:type="dxa"/>
            <w:tcBorders>
              <w:top w:val="single" w:sz="4" w:space="0" w:color="000000"/>
              <w:bottom w:val="single" w:sz="4" w:space="0" w:color="000000"/>
              <w:right w:val="single" w:sz="4" w:space="0" w:color="000000"/>
            </w:tcBorders>
            <w:vAlign w:val="bottom"/>
          </w:tcPr>
          <w:p>
            <w:pPr>
              <w:pStyle w:val="Normal"/>
              <w:jc w:val="center"/>
              <w:rPr>
                <w:color w:val="000000"/>
              </w:rPr>
            </w:pPr>
            <w:r>
              <w:rPr>
                <w:color w:val="000000"/>
              </w:rPr>
              <w:t>95 110,5</w:t>
            </w:r>
          </w:p>
        </w:tc>
        <w:tc>
          <w:tcPr>
            <w:tcW w:w="1701" w:type="dxa"/>
            <w:tcBorders>
              <w:top w:val="single" w:sz="4" w:space="0" w:color="000000"/>
              <w:bottom w:val="single" w:sz="4" w:space="0" w:color="000000"/>
              <w:right w:val="single" w:sz="4" w:space="0" w:color="000000"/>
            </w:tcBorders>
            <w:vAlign w:val="bottom"/>
          </w:tcPr>
          <w:p>
            <w:pPr>
              <w:pStyle w:val="Normal"/>
              <w:jc w:val="center"/>
              <w:rPr>
                <w:color w:val="000000"/>
              </w:rPr>
            </w:pPr>
            <w:r>
              <w:rPr>
                <w:color w:val="000000"/>
              </w:rPr>
              <w:t>180 969,1</w:t>
            </w:r>
          </w:p>
        </w:tc>
        <w:tc>
          <w:tcPr>
            <w:tcW w:w="851" w:type="dxa"/>
            <w:tcBorders>
              <w:top w:val="single" w:sz="4" w:space="0" w:color="000000"/>
              <w:bottom w:val="single" w:sz="4" w:space="0" w:color="000000"/>
              <w:right w:val="single" w:sz="4" w:space="0" w:color="000000"/>
            </w:tcBorders>
            <w:vAlign w:val="bottom"/>
          </w:tcPr>
          <w:p>
            <w:pPr>
              <w:pStyle w:val="Normal"/>
              <w:jc w:val="center"/>
              <w:rPr>
                <w:color w:val="000000"/>
              </w:rPr>
            </w:pPr>
            <w:r>
              <w:rPr>
                <w:color w:val="000000"/>
              </w:rPr>
              <w:t>190,3</w:t>
            </w:r>
          </w:p>
        </w:tc>
        <w:tc>
          <w:tcPr>
            <w:tcW w:w="1275" w:type="dxa"/>
            <w:tcBorders>
              <w:top w:val="single" w:sz="4" w:space="0" w:color="000000"/>
              <w:bottom w:val="single" w:sz="4" w:space="0" w:color="000000"/>
              <w:right w:val="single" w:sz="4" w:space="0" w:color="000000"/>
            </w:tcBorders>
            <w:vAlign w:val="bottom"/>
          </w:tcPr>
          <w:p>
            <w:pPr>
              <w:pStyle w:val="Normal"/>
              <w:jc w:val="center"/>
              <w:rPr>
                <w:color w:val="000000"/>
              </w:rPr>
            </w:pPr>
            <w:r>
              <w:rPr>
                <w:color w:val="000000"/>
              </w:rPr>
              <w:t>179 640,2</w:t>
            </w:r>
          </w:p>
        </w:tc>
        <w:tc>
          <w:tcPr>
            <w:tcW w:w="850" w:type="dxa"/>
            <w:tcBorders>
              <w:top w:val="single" w:sz="4" w:space="0" w:color="000000"/>
              <w:bottom w:val="single" w:sz="4" w:space="0" w:color="000000"/>
              <w:right w:val="single" w:sz="4" w:space="0" w:color="000000"/>
            </w:tcBorders>
            <w:vAlign w:val="bottom"/>
          </w:tcPr>
          <w:p>
            <w:pPr>
              <w:pStyle w:val="Normal"/>
              <w:jc w:val="center"/>
              <w:rPr>
                <w:color w:val="000000"/>
              </w:rPr>
            </w:pPr>
            <w:r>
              <w:rPr>
                <w:color w:val="000000"/>
              </w:rPr>
              <w:t>188,9</w:t>
            </w:r>
          </w:p>
        </w:tc>
        <w:tc>
          <w:tcPr>
            <w:tcW w:w="768" w:type="dxa"/>
            <w:tcBorders>
              <w:top w:val="single" w:sz="4" w:space="0" w:color="000000"/>
              <w:bottom w:val="single" w:sz="4" w:space="0" w:color="000000"/>
              <w:right w:val="single" w:sz="4" w:space="0" w:color="000000"/>
            </w:tcBorders>
            <w:vAlign w:val="bottom"/>
          </w:tcPr>
          <w:p>
            <w:pPr>
              <w:pStyle w:val="Normal"/>
              <w:jc w:val="center"/>
              <w:rPr>
                <w:color w:val="000000"/>
              </w:rPr>
            </w:pPr>
            <w:r>
              <w:rPr>
                <w:color w:val="000000"/>
              </w:rPr>
              <w:t>99,3</w:t>
            </w:r>
          </w:p>
        </w:tc>
        <w:tc>
          <w:tcPr>
            <w:tcW w:w="790" w:type="dxa"/>
            <w:tcBorders>
              <w:top w:val="single" w:sz="4" w:space="0" w:color="000000"/>
              <w:bottom w:val="single" w:sz="4" w:space="0" w:color="000000"/>
              <w:right w:val="single" w:sz="4" w:space="0" w:color="000000"/>
            </w:tcBorders>
            <w:vAlign w:val="bottom"/>
          </w:tcPr>
          <w:p>
            <w:pPr>
              <w:pStyle w:val="Normal"/>
              <w:jc w:val="center"/>
              <w:rPr>
                <w:color w:val="000000"/>
              </w:rPr>
            </w:pPr>
            <w:r>
              <w:rPr>
                <w:color w:val="000000"/>
              </w:rPr>
              <w:t>97,4</w:t>
            </w:r>
          </w:p>
        </w:tc>
      </w:tr>
      <w:tr>
        <w:trPr>
          <w:trHeight w:val="415" w:hRule="atLeast"/>
        </w:trPr>
        <w:tc>
          <w:tcPr>
            <w:tcW w:w="1706" w:type="dxa"/>
            <w:tcBorders>
              <w:left w:val="single" w:sz="4" w:space="0" w:color="000000"/>
              <w:bottom w:val="single" w:sz="4" w:space="0" w:color="000000"/>
              <w:right w:val="single" w:sz="4" w:space="0" w:color="000000"/>
            </w:tcBorders>
            <w:vAlign w:val="center"/>
          </w:tcPr>
          <w:p>
            <w:pPr>
              <w:pStyle w:val="Normal"/>
              <w:rPr>
                <w:color w:val="000000"/>
              </w:rPr>
            </w:pPr>
            <w:r>
              <w:rPr>
                <w:color w:val="000000"/>
              </w:rPr>
              <w:t>Расходы бюджета</w:t>
            </w:r>
          </w:p>
        </w:tc>
        <w:tc>
          <w:tcPr>
            <w:tcW w:w="1701" w:type="dxa"/>
            <w:tcBorders>
              <w:bottom w:val="single" w:sz="4" w:space="0" w:color="000000"/>
              <w:right w:val="single" w:sz="4" w:space="0" w:color="000000"/>
            </w:tcBorders>
            <w:vAlign w:val="bottom"/>
          </w:tcPr>
          <w:p>
            <w:pPr>
              <w:pStyle w:val="Normal"/>
              <w:jc w:val="center"/>
              <w:rPr>
                <w:color w:val="000000"/>
              </w:rPr>
            </w:pPr>
            <w:r>
              <w:rPr>
                <w:color w:val="000000"/>
              </w:rPr>
              <w:t>95 110,5</w:t>
            </w:r>
          </w:p>
        </w:tc>
        <w:tc>
          <w:tcPr>
            <w:tcW w:w="1701" w:type="dxa"/>
            <w:tcBorders>
              <w:bottom w:val="single" w:sz="4" w:space="0" w:color="000000"/>
              <w:right w:val="single" w:sz="4" w:space="0" w:color="000000"/>
            </w:tcBorders>
            <w:vAlign w:val="bottom"/>
          </w:tcPr>
          <w:p>
            <w:pPr>
              <w:pStyle w:val="Normal"/>
              <w:jc w:val="center"/>
              <w:rPr>
                <w:color w:val="000000"/>
              </w:rPr>
            </w:pPr>
            <w:r>
              <w:rPr>
                <w:color w:val="000000"/>
              </w:rPr>
              <w:t>185 740,0</w:t>
            </w:r>
          </w:p>
        </w:tc>
        <w:tc>
          <w:tcPr>
            <w:tcW w:w="851" w:type="dxa"/>
            <w:tcBorders>
              <w:bottom w:val="single" w:sz="4" w:space="0" w:color="000000"/>
              <w:right w:val="single" w:sz="4" w:space="0" w:color="000000"/>
            </w:tcBorders>
            <w:vAlign w:val="bottom"/>
          </w:tcPr>
          <w:p>
            <w:pPr>
              <w:pStyle w:val="Normal"/>
              <w:jc w:val="center"/>
              <w:rPr>
                <w:color w:val="000000"/>
              </w:rPr>
            </w:pPr>
            <w:r>
              <w:rPr>
                <w:color w:val="000000"/>
              </w:rPr>
              <w:t>195,3</w:t>
            </w:r>
          </w:p>
        </w:tc>
        <w:tc>
          <w:tcPr>
            <w:tcW w:w="1275" w:type="dxa"/>
            <w:tcBorders>
              <w:bottom w:val="single" w:sz="4" w:space="0" w:color="000000"/>
              <w:right w:val="single" w:sz="4" w:space="0" w:color="000000"/>
            </w:tcBorders>
            <w:vAlign w:val="bottom"/>
          </w:tcPr>
          <w:p>
            <w:pPr>
              <w:pStyle w:val="Normal"/>
              <w:jc w:val="center"/>
              <w:rPr>
                <w:color w:val="000000"/>
              </w:rPr>
            </w:pPr>
            <w:r>
              <w:rPr>
                <w:color w:val="000000"/>
              </w:rPr>
              <w:t>182 080,3</w:t>
            </w:r>
          </w:p>
        </w:tc>
        <w:tc>
          <w:tcPr>
            <w:tcW w:w="850" w:type="dxa"/>
            <w:tcBorders>
              <w:bottom w:val="single" w:sz="4" w:space="0" w:color="000000"/>
              <w:right w:val="single" w:sz="4" w:space="0" w:color="000000"/>
            </w:tcBorders>
            <w:vAlign w:val="bottom"/>
          </w:tcPr>
          <w:p>
            <w:pPr>
              <w:pStyle w:val="Normal"/>
              <w:jc w:val="center"/>
              <w:rPr>
                <w:color w:val="000000"/>
              </w:rPr>
            </w:pPr>
            <w:r>
              <w:rPr>
                <w:color w:val="000000"/>
              </w:rPr>
              <w:t>191,4</w:t>
            </w:r>
          </w:p>
        </w:tc>
        <w:tc>
          <w:tcPr>
            <w:tcW w:w="768" w:type="dxa"/>
            <w:tcBorders>
              <w:bottom w:val="single" w:sz="4" w:space="0" w:color="000000"/>
              <w:right w:val="single" w:sz="4" w:space="0" w:color="000000"/>
            </w:tcBorders>
            <w:vAlign w:val="bottom"/>
          </w:tcPr>
          <w:p>
            <w:pPr>
              <w:pStyle w:val="Normal"/>
              <w:jc w:val="center"/>
              <w:rPr>
                <w:color w:val="000000"/>
              </w:rPr>
            </w:pPr>
            <w:r>
              <w:rPr>
                <w:color w:val="000000"/>
              </w:rPr>
              <w:t>98,0</w:t>
            </w:r>
          </w:p>
        </w:tc>
        <w:tc>
          <w:tcPr>
            <w:tcW w:w="790" w:type="dxa"/>
            <w:tcBorders>
              <w:bottom w:val="single" w:sz="4" w:space="0" w:color="000000"/>
              <w:right w:val="single" w:sz="4" w:space="0" w:color="000000"/>
            </w:tcBorders>
            <w:vAlign w:val="bottom"/>
          </w:tcPr>
          <w:p>
            <w:pPr>
              <w:pStyle w:val="Normal"/>
              <w:jc w:val="center"/>
              <w:rPr>
                <w:color w:val="000000"/>
              </w:rPr>
            </w:pPr>
            <w:r>
              <w:rPr>
                <w:color w:val="000000"/>
              </w:rPr>
              <w:t>99,9</w:t>
            </w:r>
          </w:p>
        </w:tc>
      </w:tr>
      <w:tr>
        <w:trPr>
          <w:trHeight w:val="627" w:hRule="atLeast"/>
        </w:trPr>
        <w:tc>
          <w:tcPr>
            <w:tcW w:w="1706" w:type="dxa"/>
            <w:tcBorders>
              <w:left w:val="single" w:sz="4" w:space="0" w:color="000000"/>
              <w:bottom w:val="single" w:sz="4" w:space="0" w:color="000000"/>
              <w:right w:val="single" w:sz="4" w:space="0" w:color="000000"/>
            </w:tcBorders>
            <w:vAlign w:val="center"/>
          </w:tcPr>
          <w:p>
            <w:pPr>
              <w:pStyle w:val="Normal"/>
              <w:rPr>
                <w:color w:val="000000"/>
              </w:rPr>
            </w:pPr>
            <w:r>
              <w:rPr>
                <w:color w:val="000000"/>
              </w:rPr>
              <w:t>Профицит (+), дефицит (-)</w:t>
            </w:r>
          </w:p>
        </w:tc>
        <w:tc>
          <w:tcPr>
            <w:tcW w:w="1701" w:type="dxa"/>
            <w:tcBorders>
              <w:bottom w:val="single" w:sz="4" w:space="0" w:color="000000"/>
              <w:right w:val="single" w:sz="4" w:space="0" w:color="000000"/>
            </w:tcBorders>
            <w:vAlign w:val="bottom"/>
          </w:tcPr>
          <w:p>
            <w:pPr>
              <w:pStyle w:val="Normal"/>
              <w:jc w:val="center"/>
              <w:rPr>
                <w:color w:val="000000"/>
              </w:rPr>
            </w:pPr>
            <w:r>
              <w:rPr>
                <w:color w:val="000000"/>
              </w:rPr>
              <w:t>0,0</w:t>
            </w:r>
          </w:p>
        </w:tc>
        <w:tc>
          <w:tcPr>
            <w:tcW w:w="1701" w:type="dxa"/>
            <w:tcBorders>
              <w:bottom w:val="single" w:sz="4" w:space="0" w:color="000000"/>
              <w:right w:val="single" w:sz="4" w:space="0" w:color="000000"/>
            </w:tcBorders>
            <w:vAlign w:val="bottom"/>
          </w:tcPr>
          <w:p>
            <w:pPr>
              <w:pStyle w:val="Normal"/>
              <w:jc w:val="center"/>
              <w:rPr>
                <w:color w:val="000000"/>
              </w:rPr>
            </w:pPr>
            <w:r>
              <w:rPr>
                <w:color w:val="000000"/>
              </w:rPr>
              <w:t>-4 770,9</w:t>
            </w:r>
          </w:p>
        </w:tc>
        <w:tc>
          <w:tcPr>
            <w:tcW w:w="851" w:type="dxa"/>
            <w:tcBorders>
              <w:bottom w:val="single" w:sz="4" w:space="0" w:color="000000"/>
              <w:right w:val="single" w:sz="4" w:space="0" w:color="000000"/>
            </w:tcBorders>
            <w:vAlign w:val="bottom"/>
          </w:tcPr>
          <w:p>
            <w:pPr>
              <w:pStyle w:val="Normal"/>
              <w:jc w:val="center"/>
              <w:rPr>
                <w:color w:val="000000"/>
              </w:rPr>
            </w:pPr>
            <w:r>
              <w:rPr>
                <w:color w:val="000000"/>
              </w:rPr>
              <w:t>100,0</w:t>
            </w:r>
          </w:p>
        </w:tc>
        <w:tc>
          <w:tcPr>
            <w:tcW w:w="1275" w:type="dxa"/>
            <w:tcBorders>
              <w:bottom w:val="single" w:sz="4" w:space="0" w:color="000000"/>
              <w:right w:val="single" w:sz="4" w:space="0" w:color="000000"/>
            </w:tcBorders>
            <w:vAlign w:val="bottom"/>
          </w:tcPr>
          <w:p>
            <w:pPr>
              <w:pStyle w:val="Normal"/>
              <w:jc w:val="center"/>
              <w:rPr>
                <w:color w:val="000000"/>
              </w:rPr>
            </w:pPr>
            <w:r>
              <w:rPr>
                <w:color w:val="000000"/>
              </w:rPr>
              <w:t>-2 440,1</w:t>
            </w:r>
          </w:p>
        </w:tc>
        <w:tc>
          <w:tcPr>
            <w:tcW w:w="850" w:type="dxa"/>
            <w:tcBorders>
              <w:bottom w:val="single" w:sz="4" w:space="0" w:color="000000"/>
              <w:right w:val="single" w:sz="4" w:space="0" w:color="000000"/>
            </w:tcBorders>
            <w:vAlign w:val="bottom"/>
          </w:tcPr>
          <w:p>
            <w:pPr>
              <w:pStyle w:val="Normal"/>
              <w:jc w:val="center"/>
              <w:rPr>
                <w:color w:val="000000"/>
              </w:rPr>
            </w:pPr>
            <w:r>
              <w:rPr>
                <w:color w:val="000000"/>
              </w:rPr>
              <w:t>100,0</w:t>
            </w:r>
          </w:p>
        </w:tc>
        <w:tc>
          <w:tcPr>
            <w:tcW w:w="768" w:type="dxa"/>
            <w:tcBorders>
              <w:bottom w:val="single" w:sz="4" w:space="0" w:color="000000"/>
              <w:right w:val="single" w:sz="4" w:space="0" w:color="000000"/>
            </w:tcBorders>
            <w:vAlign w:val="bottom"/>
          </w:tcPr>
          <w:p>
            <w:pPr>
              <w:pStyle w:val="Normal"/>
              <w:jc w:val="center"/>
              <w:rPr>
                <w:color w:val="000000"/>
              </w:rPr>
            </w:pPr>
            <w:r>
              <w:rPr>
                <w:color w:val="000000"/>
              </w:rPr>
              <w:t>51,1</w:t>
            </w:r>
          </w:p>
        </w:tc>
        <w:tc>
          <w:tcPr>
            <w:tcW w:w="790" w:type="dxa"/>
            <w:tcBorders>
              <w:bottom w:val="single" w:sz="4" w:space="0" w:color="000000"/>
              <w:right w:val="single" w:sz="4" w:space="0" w:color="000000"/>
            </w:tcBorders>
            <w:vAlign w:val="bottom"/>
          </w:tcPr>
          <w:p>
            <w:pPr>
              <w:pStyle w:val="Normal"/>
              <w:jc w:val="right"/>
              <w:rPr>
                <w:color w:val="000000"/>
              </w:rPr>
            </w:pPr>
            <w:r>
              <w:rPr>
                <w:color w:val="000000"/>
              </w:rPr>
              <w:t>Х</w:t>
            </w:r>
          </w:p>
        </w:tc>
      </w:tr>
    </w:tbl>
    <w:p>
      <w:pPr>
        <w:pStyle w:val="Normal"/>
        <w:ind w:firstLine="708"/>
        <w:jc w:val="both"/>
        <w:rPr>
          <w:b/>
          <w:bCs/>
        </w:rPr>
      </w:pPr>
      <w:r>
        <w:rPr>
          <w:b/>
          <w:bCs/>
        </w:rPr>
      </w:r>
    </w:p>
    <w:p>
      <w:pPr>
        <w:pStyle w:val="Normal"/>
        <w:ind w:firstLine="708"/>
        <w:jc w:val="both"/>
        <w:rPr>
          <w:b/>
          <w:bCs/>
        </w:rPr>
      </w:pPr>
      <w:r>
        <w:rPr>
          <w:b/>
          <w:bCs/>
        </w:rPr>
        <w:t>3.2. Анализ исполнения доходной части бюджета.</w:t>
      </w:r>
    </w:p>
    <w:p>
      <w:pPr>
        <w:pStyle w:val="Normal"/>
        <w:ind w:firstLine="708"/>
        <w:jc w:val="both"/>
        <w:rPr>
          <w:bCs/>
        </w:rPr>
      </w:pPr>
      <w:r>
        <w:rPr>
          <w:bCs/>
        </w:rPr>
        <w:t>В соответствии со ст. 41 БК РФ доходы бюджета городского поселения Талинка сформированы за счет налоговых, неналоговых и безвозмездных поступлений в соответствии с нормативами, установленными бюджетным законодательством.</w:t>
      </w:r>
    </w:p>
    <w:p>
      <w:pPr>
        <w:pStyle w:val="Normal"/>
        <w:ind w:firstLine="708"/>
        <w:jc w:val="both"/>
        <w:rPr>
          <w:bCs/>
        </w:rPr>
      </w:pPr>
      <w:r>
        <w:rPr>
          <w:bCs/>
        </w:rPr>
        <w:t>Исполнение бюджета поселения по доходам составило 179 640,2 тыс. руб. или 188,9% к утвержденным назначениям, 99,3% – от уточненных, 97,4% - от уровня 2024 года.</w:t>
      </w:r>
    </w:p>
    <w:p>
      <w:pPr>
        <w:pStyle w:val="Normal"/>
        <w:ind w:firstLine="708"/>
        <w:jc w:val="both"/>
        <w:rPr>
          <w:bCs/>
        </w:rPr>
      </w:pPr>
      <w:r>
        <w:rPr>
          <w:bCs/>
        </w:rPr>
        <w:t>Исполнение доходной части бюджета поселения в разрезе главных администраторов доходов характеризуется следующими данными:</w:t>
      </w:r>
    </w:p>
    <w:p>
      <w:pPr>
        <w:pStyle w:val="Normal"/>
        <w:ind w:firstLine="284"/>
        <w:jc w:val="right"/>
        <w:rPr/>
      </w:pPr>
      <w:r>
        <w:rPr/>
        <w:t>Таблица № 2</w:t>
      </w:r>
    </w:p>
    <w:p>
      <w:pPr>
        <w:pStyle w:val="Normal"/>
        <w:ind w:firstLine="284"/>
        <w:jc w:val="right"/>
        <w:rPr/>
      </w:pPr>
      <w:r>
        <w:rPr/>
        <w:t>(тыс. руб.)</w:t>
      </w:r>
    </w:p>
    <w:tbl>
      <w:tblPr>
        <w:tblW w:w="9644" w:type="dxa"/>
        <w:jc w:val="left"/>
        <w:tblInd w:w="103" w:type="dxa"/>
        <w:tblLayout w:type="fixed"/>
        <w:tblCellMar>
          <w:top w:w="0" w:type="dxa"/>
          <w:left w:w="108" w:type="dxa"/>
          <w:bottom w:w="0" w:type="dxa"/>
          <w:right w:w="108" w:type="dxa"/>
        </w:tblCellMar>
        <w:tblLook w:val="00a0" w:noHBand="0" w:noVBand="0" w:firstColumn="1" w:lastRow="0" w:lastColumn="0" w:firstRow="1"/>
      </w:tblPr>
      <w:tblGrid>
        <w:gridCol w:w="1138"/>
        <w:gridCol w:w="2128"/>
        <w:gridCol w:w="1275"/>
        <w:gridCol w:w="1276"/>
        <w:gridCol w:w="1417"/>
        <w:gridCol w:w="1135"/>
        <w:gridCol w:w="1274"/>
      </w:tblGrid>
      <w:tr>
        <w:trPr>
          <w:trHeight w:val="465" w:hRule="atLeast"/>
        </w:trPr>
        <w:tc>
          <w:tcPr>
            <w:tcW w:w="113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color w:val="000000"/>
              </w:rPr>
            </w:pPr>
            <w:r>
              <w:rPr>
                <w:color w:val="000000"/>
                <w:sz w:val="22"/>
                <w:szCs w:val="22"/>
              </w:rPr>
              <w:t>Код АД</w:t>
            </w:r>
          </w:p>
        </w:tc>
        <w:tc>
          <w:tcPr>
            <w:tcW w:w="2128" w:type="dxa"/>
            <w:tcBorders>
              <w:top w:val="single" w:sz="4" w:space="0" w:color="000000"/>
              <w:bottom w:val="single" w:sz="4" w:space="0" w:color="000000"/>
              <w:right w:val="single" w:sz="4" w:space="0" w:color="000000"/>
            </w:tcBorders>
            <w:vAlign w:val="center"/>
          </w:tcPr>
          <w:p>
            <w:pPr>
              <w:pStyle w:val="Normal"/>
              <w:jc w:val="center"/>
              <w:rPr>
                <w:color w:val="000000"/>
              </w:rPr>
            </w:pPr>
            <w:r>
              <w:rPr>
                <w:color w:val="000000"/>
                <w:sz w:val="22"/>
                <w:szCs w:val="22"/>
              </w:rPr>
              <w:t>Наименование</w:t>
            </w:r>
          </w:p>
        </w:tc>
        <w:tc>
          <w:tcPr>
            <w:tcW w:w="1275" w:type="dxa"/>
            <w:tcBorders>
              <w:top w:val="single" w:sz="4" w:space="0" w:color="000000"/>
              <w:bottom w:val="single" w:sz="4" w:space="0" w:color="000000"/>
              <w:right w:val="single" w:sz="4" w:space="0" w:color="000000"/>
            </w:tcBorders>
            <w:vAlign w:val="center"/>
          </w:tcPr>
          <w:p>
            <w:pPr>
              <w:pStyle w:val="Normal"/>
              <w:rPr/>
            </w:pPr>
            <w:r>
              <w:rPr>
                <w:sz w:val="22"/>
                <w:szCs w:val="22"/>
              </w:rPr>
              <w:t>РСД №48</w:t>
            </w:r>
          </w:p>
        </w:tc>
        <w:tc>
          <w:tcPr>
            <w:tcW w:w="1276" w:type="dxa"/>
            <w:tcBorders>
              <w:top w:val="single" w:sz="4" w:space="0" w:color="000000"/>
              <w:left w:val="single" w:sz="4" w:space="0" w:color="000000"/>
              <w:bottom w:val="single" w:sz="4" w:space="0" w:color="000000"/>
            </w:tcBorders>
            <w:vAlign w:val="center"/>
          </w:tcPr>
          <w:p>
            <w:pPr>
              <w:pStyle w:val="Normal"/>
              <w:rPr/>
            </w:pPr>
            <w:r>
              <w:rPr>
                <w:sz w:val="22"/>
                <w:szCs w:val="22"/>
              </w:rPr>
              <w:t>РСД №37</w:t>
            </w:r>
          </w:p>
        </w:tc>
        <w:tc>
          <w:tcPr>
            <w:tcW w:w="1417" w:type="dxa"/>
            <w:tcBorders>
              <w:top w:val="single" w:sz="4" w:space="0" w:color="000000"/>
              <w:left w:val="single" w:sz="4" w:space="0" w:color="000000"/>
              <w:bottom w:val="single" w:sz="4" w:space="0" w:color="000000"/>
              <w:right w:val="single" w:sz="4" w:space="0" w:color="000000"/>
            </w:tcBorders>
            <w:vAlign w:val="center"/>
          </w:tcPr>
          <w:p>
            <w:pPr>
              <w:pStyle w:val="Normal"/>
              <w:jc w:val="center"/>
              <w:rPr/>
            </w:pPr>
            <w:r>
              <w:rPr>
                <w:sz w:val="22"/>
                <w:szCs w:val="22"/>
              </w:rPr>
              <w:t>Исполнение</w:t>
            </w:r>
          </w:p>
        </w:tc>
        <w:tc>
          <w:tcPr>
            <w:tcW w:w="1135" w:type="dxa"/>
            <w:tcBorders>
              <w:top w:val="single" w:sz="4" w:space="0" w:color="000000"/>
              <w:bottom w:val="single" w:sz="4" w:space="0" w:color="000000"/>
              <w:right w:val="single" w:sz="4" w:space="0" w:color="000000"/>
            </w:tcBorders>
            <w:vAlign w:val="center"/>
          </w:tcPr>
          <w:p>
            <w:pPr>
              <w:pStyle w:val="Normal"/>
              <w:jc w:val="center"/>
              <w:rPr/>
            </w:pPr>
            <w:r>
              <w:rPr>
                <w:sz w:val="22"/>
                <w:szCs w:val="22"/>
              </w:rPr>
              <w:t>+/-</w:t>
            </w:r>
          </w:p>
        </w:tc>
        <w:tc>
          <w:tcPr>
            <w:tcW w:w="1274" w:type="dxa"/>
            <w:tcBorders>
              <w:top w:val="single" w:sz="4" w:space="0" w:color="000000"/>
              <w:bottom w:val="single" w:sz="4" w:space="0" w:color="000000"/>
              <w:right w:val="single" w:sz="4" w:space="0" w:color="000000"/>
            </w:tcBorders>
            <w:vAlign w:val="center"/>
          </w:tcPr>
          <w:p>
            <w:pPr>
              <w:pStyle w:val="Normal"/>
              <w:jc w:val="center"/>
              <w:rPr/>
            </w:pPr>
            <w:r>
              <w:rPr>
                <w:sz w:val="22"/>
                <w:szCs w:val="22"/>
              </w:rPr>
              <w:t>в % к 2024 году</w:t>
            </w:r>
          </w:p>
        </w:tc>
      </w:tr>
      <w:tr>
        <w:trPr>
          <w:trHeight w:val="457" w:hRule="atLeast"/>
        </w:trPr>
        <w:tc>
          <w:tcPr>
            <w:tcW w:w="1138" w:type="dxa"/>
            <w:tcBorders>
              <w:left w:val="single" w:sz="4" w:space="0" w:color="000000"/>
              <w:bottom w:val="single" w:sz="4" w:space="0" w:color="000000"/>
              <w:right w:val="single" w:sz="4" w:space="0" w:color="000000"/>
            </w:tcBorders>
            <w:vAlign w:val="center"/>
          </w:tcPr>
          <w:p>
            <w:pPr>
              <w:pStyle w:val="Normal"/>
              <w:jc w:val="center"/>
              <w:rPr>
                <w:color w:val="000000"/>
              </w:rPr>
            </w:pPr>
            <w:r>
              <w:rPr>
                <w:color w:val="000000"/>
              </w:rPr>
              <w:t>650</w:t>
            </w:r>
          </w:p>
        </w:tc>
        <w:tc>
          <w:tcPr>
            <w:tcW w:w="2128" w:type="dxa"/>
            <w:tcBorders>
              <w:bottom w:val="single" w:sz="4" w:space="0" w:color="000000"/>
              <w:right w:val="single" w:sz="4" w:space="0" w:color="000000"/>
            </w:tcBorders>
            <w:vAlign w:val="center"/>
          </w:tcPr>
          <w:p>
            <w:pPr>
              <w:pStyle w:val="Normal"/>
              <w:jc w:val="both"/>
              <w:rPr>
                <w:color w:val="000000"/>
              </w:rPr>
            </w:pPr>
            <w:r>
              <w:rPr>
                <w:color w:val="000000"/>
              </w:rPr>
              <w:t>Администрация поселения</w:t>
            </w:r>
          </w:p>
        </w:tc>
        <w:tc>
          <w:tcPr>
            <w:tcW w:w="1275" w:type="dxa"/>
            <w:tcBorders>
              <w:top w:val="single" w:sz="4" w:space="0" w:color="000000"/>
              <w:bottom w:val="single" w:sz="4" w:space="0" w:color="000000"/>
              <w:right w:val="single" w:sz="4" w:space="0" w:color="000000"/>
            </w:tcBorders>
            <w:vAlign w:val="bottom"/>
          </w:tcPr>
          <w:p>
            <w:pPr>
              <w:pStyle w:val="Normal"/>
              <w:jc w:val="right"/>
              <w:rPr>
                <w:color w:val="000000"/>
              </w:rPr>
            </w:pPr>
            <w:r>
              <w:rPr>
                <w:color w:val="000000"/>
              </w:rPr>
              <w:t>58 085,4</w:t>
            </w:r>
          </w:p>
        </w:tc>
        <w:tc>
          <w:tcPr>
            <w:tcW w:w="1276" w:type="dxa"/>
            <w:tcBorders>
              <w:left w:val="single" w:sz="4" w:space="0" w:color="000000"/>
              <w:bottom w:val="single" w:sz="4" w:space="0" w:color="000000"/>
              <w:right w:val="single" w:sz="4" w:space="0" w:color="000000"/>
            </w:tcBorders>
            <w:vAlign w:val="bottom"/>
          </w:tcPr>
          <w:p>
            <w:pPr>
              <w:pStyle w:val="Normal"/>
              <w:jc w:val="right"/>
              <w:rPr>
                <w:color w:val="000000"/>
              </w:rPr>
            </w:pPr>
            <w:r>
              <w:rPr>
                <w:color w:val="000000"/>
              </w:rPr>
              <w:t>137 065,4</w:t>
            </w:r>
          </w:p>
        </w:tc>
        <w:tc>
          <w:tcPr>
            <w:tcW w:w="1417" w:type="dxa"/>
            <w:tcBorders>
              <w:bottom w:val="single" w:sz="4" w:space="0" w:color="000000"/>
              <w:right w:val="single" w:sz="4" w:space="0" w:color="000000"/>
            </w:tcBorders>
            <w:vAlign w:val="bottom"/>
          </w:tcPr>
          <w:p>
            <w:pPr>
              <w:pStyle w:val="Normal"/>
              <w:jc w:val="right"/>
              <w:rPr>
                <w:color w:val="000000"/>
              </w:rPr>
            </w:pPr>
            <w:r>
              <w:rPr>
                <w:color w:val="000000"/>
              </w:rPr>
              <w:t>135 803,8</w:t>
            </w:r>
          </w:p>
        </w:tc>
        <w:tc>
          <w:tcPr>
            <w:tcW w:w="1135" w:type="dxa"/>
            <w:tcBorders>
              <w:bottom w:val="single" w:sz="4" w:space="0" w:color="000000"/>
              <w:right w:val="single" w:sz="4" w:space="0" w:color="000000"/>
            </w:tcBorders>
            <w:vAlign w:val="bottom"/>
          </w:tcPr>
          <w:p>
            <w:pPr>
              <w:pStyle w:val="Normal"/>
              <w:jc w:val="right"/>
              <w:rPr>
                <w:color w:val="000000"/>
              </w:rPr>
            </w:pPr>
            <w:r>
              <w:rPr>
                <w:color w:val="000000"/>
              </w:rPr>
              <w:t>-1 261,5</w:t>
            </w:r>
          </w:p>
        </w:tc>
        <w:tc>
          <w:tcPr>
            <w:tcW w:w="1274" w:type="dxa"/>
            <w:tcBorders>
              <w:bottom w:val="single" w:sz="4" w:space="0" w:color="000000"/>
              <w:right w:val="single" w:sz="4" w:space="0" w:color="000000"/>
            </w:tcBorders>
            <w:vAlign w:val="bottom"/>
          </w:tcPr>
          <w:p>
            <w:pPr>
              <w:pStyle w:val="Normal"/>
              <w:jc w:val="center"/>
              <w:rPr>
                <w:color w:val="000000"/>
              </w:rPr>
            </w:pPr>
            <w:r>
              <w:rPr>
                <w:color w:val="000000"/>
              </w:rPr>
              <w:t>96,6</w:t>
            </w:r>
          </w:p>
        </w:tc>
      </w:tr>
      <w:tr>
        <w:trPr>
          <w:trHeight w:val="763" w:hRule="atLeast"/>
        </w:trPr>
        <w:tc>
          <w:tcPr>
            <w:tcW w:w="113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color w:val="000000"/>
              </w:rPr>
            </w:pPr>
            <w:r>
              <w:rPr>
                <w:color w:val="000000"/>
              </w:rPr>
              <w:t>182</w:t>
            </w:r>
          </w:p>
        </w:tc>
        <w:tc>
          <w:tcPr>
            <w:tcW w:w="2128" w:type="dxa"/>
            <w:tcBorders>
              <w:top w:val="single" w:sz="4" w:space="0" w:color="000000"/>
              <w:bottom w:val="single" w:sz="4" w:space="0" w:color="000000"/>
              <w:right w:val="single" w:sz="4" w:space="0" w:color="000000"/>
            </w:tcBorders>
            <w:vAlign w:val="center"/>
          </w:tcPr>
          <w:p>
            <w:pPr>
              <w:pStyle w:val="Normal"/>
              <w:jc w:val="both"/>
              <w:rPr>
                <w:color w:val="000000"/>
              </w:rPr>
            </w:pPr>
            <w:r>
              <w:rPr>
                <w:color w:val="000000"/>
              </w:rPr>
              <w:t>Управление Федеральной налоговой службы по ХМАО-Югре</w:t>
            </w:r>
          </w:p>
        </w:tc>
        <w:tc>
          <w:tcPr>
            <w:tcW w:w="1275" w:type="dxa"/>
            <w:tcBorders>
              <w:top w:val="single" w:sz="4" w:space="0" w:color="000000"/>
              <w:bottom w:val="single" w:sz="4" w:space="0" w:color="000000"/>
              <w:right w:val="single" w:sz="4" w:space="0" w:color="000000"/>
            </w:tcBorders>
            <w:vAlign w:val="bottom"/>
          </w:tcPr>
          <w:p>
            <w:pPr>
              <w:pStyle w:val="Normal"/>
              <w:jc w:val="right"/>
              <w:rPr>
                <w:color w:val="000000"/>
              </w:rPr>
            </w:pPr>
            <w:r>
              <w:rPr>
                <w:color w:val="000000"/>
              </w:rPr>
              <w:t>37 025,1</w:t>
            </w:r>
          </w:p>
        </w:tc>
        <w:tc>
          <w:tcPr>
            <w:tcW w:w="1276" w:type="dxa"/>
            <w:tcBorders>
              <w:top w:val="single" w:sz="4" w:space="0" w:color="000000"/>
              <w:left w:val="single" w:sz="4" w:space="0" w:color="000000"/>
              <w:bottom w:val="single" w:sz="4" w:space="0" w:color="000000"/>
              <w:right w:val="single" w:sz="4" w:space="0" w:color="000000"/>
            </w:tcBorders>
            <w:vAlign w:val="bottom"/>
          </w:tcPr>
          <w:p>
            <w:pPr>
              <w:pStyle w:val="Normal"/>
              <w:jc w:val="right"/>
              <w:rPr>
                <w:color w:val="000000"/>
              </w:rPr>
            </w:pPr>
            <w:r>
              <w:rPr>
                <w:color w:val="000000"/>
              </w:rPr>
              <w:t>43 903,7</w:t>
            </w:r>
          </w:p>
        </w:tc>
        <w:tc>
          <w:tcPr>
            <w:tcW w:w="1417" w:type="dxa"/>
            <w:tcBorders>
              <w:top w:val="single" w:sz="4" w:space="0" w:color="000000"/>
              <w:bottom w:val="single" w:sz="4" w:space="0" w:color="000000"/>
              <w:right w:val="single" w:sz="4" w:space="0" w:color="000000"/>
            </w:tcBorders>
            <w:vAlign w:val="bottom"/>
          </w:tcPr>
          <w:p>
            <w:pPr>
              <w:pStyle w:val="Normal"/>
              <w:jc w:val="right"/>
              <w:rPr>
                <w:color w:val="000000"/>
              </w:rPr>
            </w:pPr>
            <w:r>
              <w:rPr>
                <w:color w:val="000000"/>
              </w:rPr>
              <w:t>43 836,4</w:t>
            </w:r>
          </w:p>
        </w:tc>
        <w:tc>
          <w:tcPr>
            <w:tcW w:w="1135" w:type="dxa"/>
            <w:tcBorders>
              <w:top w:val="single" w:sz="4" w:space="0" w:color="000000"/>
              <w:bottom w:val="single" w:sz="4" w:space="0" w:color="000000"/>
              <w:right w:val="single" w:sz="4" w:space="0" w:color="000000"/>
            </w:tcBorders>
            <w:vAlign w:val="bottom"/>
          </w:tcPr>
          <w:p>
            <w:pPr>
              <w:pStyle w:val="Normal"/>
              <w:jc w:val="right"/>
              <w:rPr>
                <w:color w:val="000000"/>
              </w:rPr>
            </w:pPr>
            <w:r>
              <w:rPr>
                <w:color w:val="000000"/>
              </w:rPr>
              <w:t>-67,3</w:t>
            </w:r>
          </w:p>
        </w:tc>
        <w:tc>
          <w:tcPr>
            <w:tcW w:w="1274" w:type="dxa"/>
            <w:tcBorders>
              <w:top w:val="single" w:sz="4" w:space="0" w:color="000000"/>
              <w:bottom w:val="single" w:sz="4" w:space="0" w:color="000000"/>
              <w:right w:val="single" w:sz="4" w:space="0" w:color="000000"/>
            </w:tcBorders>
            <w:vAlign w:val="bottom"/>
          </w:tcPr>
          <w:p>
            <w:pPr>
              <w:pStyle w:val="Normal"/>
              <w:jc w:val="center"/>
              <w:rPr>
                <w:color w:val="000000"/>
              </w:rPr>
            </w:pPr>
            <w:r>
              <w:rPr>
                <w:color w:val="000000"/>
              </w:rPr>
              <w:t>99,8</w:t>
            </w:r>
          </w:p>
        </w:tc>
      </w:tr>
      <w:tr>
        <w:trPr>
          <w:trHeight w:val="763" w:hRule="atLeast"/>
        </w:trPr>
        <w:tc>
          <w:tcPr>
            <w:tcW w:w="1138" w:type="dxa"/>
            <w:tcBorders>
              <w:top w:val="single" w:sz="4" w:space="0" w:color="000000"/>
              <w:left w:val="single" w:sz="4" w:space="0" w:color="000000"/>
              <w:bottom w:val="single" w:sz="4" w:space="0" w:color="000000"/>
              <w:right w:val="single" w:sz="4" w:space="0" w:color="000000"/>
            </w:tcBorders>
            <w:vAlign w:val="center"/>
          </w:tcPr>
          <w:p>
            <w:pPr>
              <w:pStyle w:val="Normal"/>
              <w:jc w:val="center"/>
              <w:rPr>
                <w:color w:val="000000"/>
              </w:rPr>
            </w:pPr>
            <w:r>
              <w:rPr>
                <w:color w:val="000000"/>
              </w:rPr>
              <w:t>Итого</w:t>
            </w:r>
          </w:p>
        </w:tc>
        <w:tc>
          <w:tcPr>
            <w:tcW w:w="2128" w:type="dxa"/>
            <w:tcBorders>
              <w:top w:val="single" w:sz="4" w:space="0" w:color="000000"/>
              <w:bottom w:val="single" w:sz="4" w:space="0" w:color="000000"/>
              <w:right w:val="single" w:sz="4" w:space="0" w:color="000000"/>
            </w:tcBorders>
            <w:vAlign w:val="center"/>
          </w:tcPr>
          <w:p>
            <w:pPr>
              <w:pStyle w:val="Normal"/>
              <w:jc w:val="both"/>
              <w:rPr>
                <w:color w:val="000000"/>
              </w:rPr>
            </w:pPr>
            <w:r>
              <w:rPr>
                <w:color w:val="000000"/>
              </w:rPr>
            </w:r>
          </w:p>
        </w:tc>
        <w:tc>
          <w:tcPr>
            <w:tcW w:w="1275" w:type="dxa"/>
            <w:tcBorders>
              <w:top w:val="single" w:sz="4" w:space="0" w:color="000000"/>
              <w:bottom w:val="single" w:sz="4" w:space="0" w:color="000000"/>
              <w:right w:val="single" w:sz="4" w:space="0" w:color="000000"/>
            </w:tcBorders>
            <w:vAlign w:val="bottom"/>
          </w:tcPr>
          <w:p>
            <w:pPr>
              <w:pStyle w:val="Normal"/>
              <w:jc w:val="right"/>
              <w:rPr>
                <w:color w:val="000000"/>
              </w:rPr>
            </w:pPr>
            <w:r>
              <w:rPr>
                <w:color w:val="000000"/>
              </w:rPr>
              <w:t>95 110,5</w:t>
            </w:r>
          </w:p>
        </w:tc>
        <w:tc>
          <w:tcPr>
            <w:tcW w:w="1276" w:type="dxa"/>
            <w:tcBorders>
              <w:top w:val="single" w:sz="4" w:space="0" w:color="000000"/>
              <w:left w:val="single" w:sz="4" w:space="0" w:color="000000"/>
              <w:bottom w:val="single" w:sz="4" w:space="0" w:color="000000"/>
              <w:right w:val="single" w:sz="4" w:space="0" w:color="000000"/>
            </w:tcBorders>
            <w:vAlign w:val="bottom"/>
          </w:tcPr>
          <w:p>
            <w:pPr>
              <w:pStyle w:val="Normal"/>
              <w:jc w:val="right"/>
              <w:rPr>
                <w:color w:val="000000"/>
              </w:rPr>
            </w:pPr>
            <w:r>
              <w:rPr>
                <w:color w:val="000000"/>
              </w:rPr>
              <w:t>180 969,1</w:t>
            </w:r>
          </w:p>
        </w:tc>
        <w:tc>
          <w:tcPr>
            <w:tcW w:w="1417" w:type="dxa"/>
            <w:tcBorders>
              <w:top w:val="single" w:sz="4" w:space="0" w:color="000000"/>
              <w:bottom w:val="single" w:sz="4" w:space="0" w:color="000000"/>
              <w:right w:val="single" w:sz="4" w:space="0" w:color="000000"/>
            </w:tcBorders>
            <w:vAlign w:val="bottom"/>
          </w:tcPr>
          <w:p>
            <w:pPr>
              <w:pStyle w:val="Normal"/>
              <w:jc w:val="right"/>
              <w:rPr>
                <w:color w:val="000000"/>
              </w:rPr>
            </w:pPr>
            <w:r>
              <w:rPr>
                <w:color w:val="000000"/>
              </w:rPr>
              <w:t>179 640,2</w:t>
            </w:r>
          </w:p>
        </w:tc>
        <w:tc>
          <w:tcPr>
            <w:tcW w:w="1135" w:type="dxa"/>
            <w:tcBorders>
              <w:top w:val="single" w:sz="4" w:space="0" w:color="000000"/>
              <w:bottom w:val="single" w:sz="4" w:space="0" w:color="000000"/>
              <w:right w:val="single" w:sz="4" w:space="0" w:color="000000"/>
            </w:tcBorders>
            <w:vAlign w:val="bottom"/>
          </w:tcPr>
          <w:p>
            <w:pPr>
              <w:pStyle w:val="Normal"/>
              <w:jc w:val="right"/>
              <w:rPr>
                <w:color w:val="000000"/>
              </w:rPr>
            </w:pPr>
            <w:r>
              <w:rPr>
                <w:color w:val="000000"/>
              </w:rPr>
              <w:t>- 1 328,9</w:t>
            </w:r>
          </w:p>
        </w:tc>
        <w:tc>
          <w:tcPr>
            <w:tcW w:w="1274" w:type="dxa"/>
            <w:tcBorders>
              <w:top w:val="single" w:sz="4" w:space="0" w:color="000000"/>
              <w:bottom w:val="single" w:sz="4" w:space="0" w:color="000000"/>
              <w:right w:val="single" w:sz="4" w:space="0" w:color="000000"/>
            </w:tcBorders>
            <w:vAlign w:val="bottom"/>
          </w:tcPr>
          <w:p>
            <w:pPr>
              <w:pStyle w:val="Normal"/>
              <w:jc w:val="center"/>
              <w:rPr>
                <w:color w:val="000000"/>
              </w:rPr>
            </w:pPr>
            <w:r>
              <w:rPr>
                <w:color w:val="000000"/>
              </w:rPr>
              <w:t>97,4</w:t>
            </w:r>
          </w:p>
        </w:tc>
      </w:tr>
    </w:tbl>
    <w:p>
      <w:pPr>
        <w:pStyle w:val="Normal"/>
        <w:ind w:firstLine="708"/>
        <w:jc w:val="both"/>
        <w:rPr>
          <w:bCs/>
        </w:rPr>
      </w:pPr>
      <w:r>
        <w:rPr>
          <w:bCs/>
        </w:rPr>
      </w:r>
    </w:p>
    <w:p>
      <w:pPr>
        <w:pStyle w:val="Normal"/>
        <w:ind w:firstLine="709"/>
        <w:jc w:val="both"/>
        <w:rPr>
          <w:bCs/>
        </w:rPr>
      </w:pPr>
      <w:r>
        <w:rPr>
          <w:bCs/>
        </w:rPr>
        <w:t xml:space="preserve">В ходе внешней проверки проанализировано исполнение утвержденных бюджетных назначений в разрезе видов доходов, определены отклонения между фактическим исполнением и утвержденными бюджетными назначениями. Результаты анализа представлены в Приложении № 1 к настоящему заключению. </w:t>
      </w:r>
    </w:p>
    <w:p>
      <w:pPr>
        <w:pStyle w:val="Normal"/>
        <w:ind w:firstLine="709"/>
        <w:jc w:val="both"/>
        <w:rPr>
          <w:bCs/>
        </w:rPr>
      </w:pPr>
      <w:r>
        <w:rPr>
          <w:bCs/>
        </w:rPr>
        <w:t xml:space="preserve">По сравнению с 2024 годом в структуре доходов бюджета поселения произошло незначительное снижение доли безвозмездных поступлений с 70,3% до 69,0%. </w:t>
      </w:r>
    </w:p>
    <w:p>
      <w:pPr>
        <w:pStyle w:val="Normal"/>
        <w:ind w:firstLine="709"/>
        <w:jc w:val="both"/>
        <w:rPr>
          <w:bCs/>
        </w:rPr>
      </w:pPr>
      <w:r>
        <w:rPr>
          <w:bCs/>
        </w:rPr>
        <w:t>В течение года плановые назначения по безвозмездным поступлениям от других бюджетов бюджетной системы РФ увеличены на 72 644,8 тыс. руб. или в 2,4 раза</w:t>
      </w:r>
    </w:p>
    <w:p>
      <w:pPr>
        <w:pStyle w:val="Normal"/>
        <w:ind w:firstLine="709"/>
        <w:jc w:val="both"/>
        <w:rPr>
          <w:bCs/>
        </w:rPr>
      </w:pPr>
      <w:r>
        <w:rPr>
          <w:bCs/>
        </w:rPr>
        <w:t>Исполнение по безвозмездным поступлениям от других бюджетов составило             124 618,0 тыс. руб. или 100,0% от уточненного плана, 96,1% от уровня 2024 года, в том числе:</w:t>
      </w:r>
    </w:p>
    <w:p>
      <w:pPr>
        <w:pStyle w:val="Normal"/>
        <w:ind w:firstLine="709"/>
        <w:jc w:val="both"/>
        <w:rPr>
          <w:bCs/>
        </w:rPr>
      </w:pPr>
      <w:r>
        <w:rPr>
          <w:bCs/>
        </w:rPr>
        <w:t>- дотации – 6 903,3 тыс. руб., 104,1% к уровню 2024 года;</w:t>
      </w:r>
    </w:p>
    <w:p>
      <w:pPr>
        <w:pStyle w:val="Normal"/>
        <w:ind w:firstLine="709"/>
        <w:jc w:val="both"/>
        <w:rPr>
          <w:bCs/>
        </w:rPr>
      </w:pPr>
      <w:r>
        <w:rPr>
          <w:bCs/>
        </w:rPr>
        <w:t>- субсидии – 60 044,2 тыс. руб., 108,1% к уровню 2024 года;</w:t>
      </w:r>
    </w:p>
    <w:p>
      <w:pPr>
        <w:pStyle w:val="Normal"/>
        <w:ind w:firstLine="709"/>
        <w:jc w:val="both"/>
        <w:rPr>
          <w:bCs/>
        </w:rPr>
      </w:pPr>
      <w:r>
        <w:rPr>
          <w:bCs/>
        </w:rPr>
        <w:t>- субвенции – 1 019,7 тыс. руб., 119,6% к уровню 2024 года;</w:t>
      </w:r>
    </w:p>
    <w:p>
      <w:pPr>
        <w:pStyle w:val="Normal"/>
        <w:ind w:firstLine="709"/>
        <w:jc w:val="both"/>
        <w:rPr>
          <w:bCs/>
        </w:rPr>
      </w:pPr>
      <w:r>
        <w:rPr>
          <w:bCs/>
        </w:rPr>
        <w:t xml:space="preserve">- иные межбюджетные трансферты – 56 650,8 тыс. руб., 85,1% от уровня 2024 года. </w:t>
      </w:r>
    </w:p>
    <w:p>
      <w:pPr>
        <w:pStyle w:val="Normal"/>
        <w:ind w:firstLine="709" w:right="-1"/>
        <w:jc w:val="both"/>
        <w:rPr/>
      </w:pPr>
      <w:r>
        <w:rPr/>
        <w:t>Доля дотаций из других бюджетов бюджетной системы Российской Федерации</w:t>
      </w:r>
      <w:r>
        <w:rPr>
          <w:bCs/>
        </w:rPr>
        <w:t xml:space="preserve"> в объеме доходов местного бюджета, за исключением субвенций</w:t>
      </w:r>
      <w:r>
        <w:rPr/>
        <w:t xml:space="preserve"> по итогам отчетного финансового года не превышает ограничения, установленные п. 2 ст. 136 БК РФ (5%). </w:t>
      </w:r>
    </w:p>
    <w:p>
      <w:pPr>
        <w:pStyle w:val="Normal"/>
        <w:ind w:firstLine="709"/>
        <w:jc w:val="both"/>
        <w:rPr>
          <w:bCs/>
        </w:rPr>
      </w:pPr>
      <w:r>
        <w:rPr>
          <w:bCs/>
        </w:rPr>
        <w:t>По итогам контрольного мероприятия в бюджет Октябрьского района и автономного округа возвращены субсидии на капитальный ремонт и ремонт автомобильных дорог в сумме 625,8 тыс. руб.</w:t>
      </w:r>
    </w:p>
    <w:p>
      <w:pPr>
        <w:pStyle w:val="Normal"/>
        <w:ind w:firstLine="709"/>
        <w:jc w:val="both"/>
        <w:rPr>
          <w:bCs/>
        </w:rPr>
      </w:pPr>
      <w:r>
        <w:rPr>
          <w:bCs/>
        </w:rPr>
        <w:t>Исполнение по налоговым доходам бюджета составило 43 836,4 тыс. руб. или 118,4% к утвержденным назначениям, 99,8% - от уточненных, 99,8% - от уровня 2024 года.</w:t>
      </w:r>
    </w:p>
    <w:p>
      <w:pPr>
        <w:pStyle w:val="Normal"/>
        <w:ind w:firstLine="709"/>
        <w:jc w:val="both"/>
        <w:rPr>
          <w:bCs/>
        </w:rPr>
      </w:pPr>
      <w:r>
        <w:rPr>
          <w:bCs/>
        </w:rPr>
        <w:t>Удельный вес налоговых поступлений составил 24,4% в общем объеме доходов бюджета.</w:t>
      </w:r>
    </w:p>
    <w:p>
      <w:pPr>
        <w:pStyle w:val="Normal"/>
        <w:ind w:firstLine="709"/>
        <w:jc w:val="both"/>
        <w:rPr>
          <w:bCs/>
        </w:rPr>
      </w:pPr>
      <w:r>
        <w:rPr>
          <w:bCs/>
        </w:rPr>
        <w:t>Объем неналоговых поступлений в бюджет поселения составил 11 811,6 тыс. руб. или 193,2% к утвержденным назначениям, 94,9% - от уточненных, 107,8% - к уровню 2024 года.</w:t>
      </w:r>
    </w:p>
    <w:p>
      <w:pPr>
        <w:pStyle w:val="Normal"/>
        <w:ind w:firstLine="709"/>
        <w:jc w:val="both"/>
        <w:rPr>
          <w:bCs/>
        </w:rPr>
      </w:pPr>
      <w:r>
        <w:rPr>
          <w:bCs/>
        </w:rPr>
        <w:t>Удельный вес неналоговых поступлений составил 6,6% в общем объеме доходов бюджета.</w:t>
      </w:r>
    </w:p>
    <w:p>
      <w:pPr>
        <w:pStyle w:val="Normal"/>
        <w:ind w:firstLine="709"/>
        <w:jc w:val="both"/>
        <w:rPr>
          <w:bCs/>
        </w:rPr>
      </w:pPr>
      <w:r>
        <w:rPr>
          <w:bCs/>
        </w:rPr>
        <w:t>Планом приватизации муниципального имущества, утвержденным решением Совета депутатов от 19.11.2024 №43 в ред. от 28.10.2025 №28, предусмотрено к реализации 3 единицы автотранспортной техники на сумму 1 728,0 тыс. руб., по данным отчета о реализации плана приватизации продано 2 единицы автотранспортной техники на сумму 484,1 тыс. руб., по данным форм отчетности доходы по КБК 650 1 14 02053 13 0000 410 «Доходы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составили 552,5 тыс. руб., что превышает сумму заключенных договоров на 68,4 тыс. руб.</w:t>
      </w:r>
    </w:p>
    <w:p>
      <w:pPr>
        <w:pStyle w:val="Normal"/>
        <w:ind w:firstLine="709"/>
        <w:jc w:val="both"/>
        <w:rPr>
          <w:bCs/>
        </w:rPr>
      </w:pPr>
      <w:r>
        <w:rPr>
          <w:bCs/>
        </w:rPr>
        <w:t xml:space="preserve">Из пояснений начальника финансово-экономического отдела следует, что доходы в сумме 68,4 тыс. руб. - это сумма задатка, которая была удержана с победителя аукциона в связи с отказом от заключения договора купли-продажи имущества по результатам аукциона. </w:t>
      </w:r>
    </w:p>
    <w:p>
      <w:pPr>
        <w:pStyle w:val="Normal"/>
        <w:ind w:firstLine="709"/>
        <w:jc w:val="both"/>
        <w:rPr>
          <w:bCs/>
        </w:rPr>
      </w:pPr>
      <w:r>
        <w:rPr>
          <w:bCs/>
        </w:rPr>
        <w:t>В соответствии с приказом Минфина России от 10.06.2024 № 85н «Об утверждении кодов (перечней кодов) бюджетной классификации Российской Федерации на 2025 год (на 2025 год и на плановый период 2026 и 2027 годов)» (далее – Приказ №85н) указанные доходы подлежат отражению по КБК 000 1 16 07090 13 0000 140 «Иные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p>
      <w:pPr>
        <w:pStyle w:val="Normal"/>
        <w:ind w:firstLine="709"/>
        <w:jc w:val="both"/>
        <w:rPr>
          <w:bCs/>
        </w:rPr>
      </w:pPr>
      <w:r>
        <w:rPr>
          <w:bCs/>
        </w:rPr>
        <w:t>Согласно положениям Приказа Минфина России от 06.12.2010 № 162н «Об утверждении Плана счетов бюджетного учета и Инструкции по его применению» (далее – Приказ № 162н) учет операций по расчетам по доходам, по расходам ведется на счетах аналитического учета, предусмотренных приложением № 1 к Приказу № 162н, с указанием в 1 - 17 разрядах номера счета соответствующего кода (составной части кода) бюджетной классификации Российской Федерации, в 24 - 26 разрядах номера счета - подстатьи КОСГУ, соответствующей экономической сущности осуществляемого факта хозяйственной жизни (отражаемого объекта бухгалтерского учета). Следовательно, неправильное применение кода (составной части кода) бюджетной классификации, в том числе раздела, целевой статьи и (или) КОСГУ автоматически означает применение не соответствующего аналитического счета бухгалтерского учета.</w:t>
      </w:r>
    </w:p>
    <w:p>
      <w:pPr>
        <w:pStyle w:val="Normal"/>
        <w:ind w:firstLine="709"/>
        <w:jc w:val="both"/>
        <w:rPr>
          <w:b/>
          <w:bCs/>
        </w:rPr>
      </w:pPr>
      <w:r>
        <w:rPr>
          <w:b/>
          <w:bCs/>
        </w:rPr>
        <w:t>Нарушение порядка применения бюджетной классификации доходов бюджета, бухгалтерского учета составило 68,4 тыс. руб.</w:t>
      </w:r>
    </w:p>
    <w:p>
      <w:pPr>
        <w:pStyle w:val="Normal"/>
        <w:ind w:firstLine="708"/>
        <w:jc w:val="both"/>
        <w:rPr>
          <w:bCs/>
        </w:rPr>
      </w:pPr>
      <w:r>
        <w:rPr>
          <w:bCs/>
        </w:rPr>
      </w:r>
    </w:p>
    <w:p>
      <w:pPr>
        <w:pStyle w:val="Normal"/>
        <w:ind w:firstLine="708"/>
        <w:jc w:val="both"/>
        <w:rPr>
          <w:bCs/>
        </w:rPr>
      </w:pPr>
      <w:r>
        <w:rPr>
          <w:b/>
          <w:bCs/>
        </w:rPr>
        <w:t>3.3. Анализ исполнения расходной части бюджета.</w:t>
      </w:r>
      <w:r>
        <w:rPr>
          <w:bCs/>
        </w:rPr>
        <w:t xml:space="preserve"> </w:t>
      </w:r>
    </w:p>
    <w:p>
      <w:pPr>
        <w:pStyle w:val="Normal"/>
        <w:tabs>
          <w:tab w:val="clear" w:pos="708"/>
          <w:tab w:val="left" w:pos="0" w:leader="none"/>
        </w:tabs>
        <w:jc w:val="both"/>
        <w:rPr>
          <w:bCs/>
        </w:rPr>
      </w:pPr>
      <w:r>
        <w:rPr>
          <w:bCs/>
        </w:rPr>
        <w:tab/>
        <w:t>3.3.1. В течение финансового года объем расходной части бюджета поселения увеличен на 90 629,5 тыс. руб. на 95,3%) и составил 185,740,0 тыс. руб. Исполнение бюджета поселения по расходам в 2025 году составило 182 080,3 тыс. руб. (98,0%), в том числе по разделам:</w:t>
      </w:r>
    </w:p>
    <w:p>
      <w:pPr>
        <w:pStyle w:val="Normal"/>
        <w:ind w:firstLine="708"/>
        <w:jc w:val="both"/>
        <w:rPr>
          <w:bCs/>
        </w:rPr>
      </w:pPr>
      <w:r>
        <w:rPr>
          <w:bCs/>
        </w:rPr>
        <w:t>1). Общегосударственные вопросы– 43 002,1 тыс. руб., 99,1% от плана, 95% к 2024г.</w:t>
      </w:r>
    </w:p>
    <w:p>
      <w:pPr>
        <w:pStyle w:val="Normal"/>
        <w:ind w:firstLine="708"/>
        <w:jc w:val="both"/>
        <w:rPr>
          <w:bCs/>
        </w:rPr>
      </w:pPr>
      <w:r>
        <w:rPr>
          <w:bCs/>
        </w:rPr>
        <w:t>2). Национальная оборона – 856,6 тыс. руб., 100% от плана, 119,6% к уровню 2024 г.</w:t>
      </w:r>
    </w:p>
    <w:p>
      <w:pPr>
        <w:pStyle w:val="Normal"/>
        <w:ind w:firstLine="708"/>
        <w:jc w:val="both"/>
        <w:rPr>
          <w:bCs/>
        </w:rPr>
      </w:pPr>
      <w:r>
        <w:rPr>
          <w:bCs/>
        </w:rPr>
        <w:t>3). Национальная безопасность и правоохранительная деятельность – 572,1 тыс. руб., 98,5% от плана, 121,8% от уровня 2024 г.</w:t>
      </w:r>
    </w:p>
    <w:p>
      <w:pPr>
        <w:pStyle w:val="Normal"/>
        <w:ind w:firstLine="708"/>
        <w:jc w:val="both"/>
        <w:rPr>
          <w:bCs/>
        </w:rPr>
      </w:pPr>
      <w:r>
        <w:rPr>
          <w:bCs/>
        </w:rPr>
        <w:t>4). Национальная экономика – 63 817,4 тыс. руб., 96,8% от плана, 90,8% к 2024 г.</w:t>
      </w:r>
    </w:p>
    <w:p>
      <w:pPr>
        <w:pStyle w:val="Normal"/>
        <w:ind w:firstLine="708"/>
        <w:jc w:val="both"/>
        <w:rPr>
          <w:bCs/>
        </w:rPr>
      </w:pPr>
      <w:r>
        <w:rPr>
          <w:bCs/>
        </w:rPr>
        <w:t>5). Жилищно-коммунальное хозяйство – 25 983,9 тыс. руб., 95,8% от плана, 104,9% к уровню 2024 г.</w:t>
      </w:r>
    </w:p>
    <w:p>
      <w:pPr>
        <w:pStyle w:val="Normal"/>
        <w:tabs>
          <w:tab w:val="left" w:pos="708" w:leader="none"/>
          <w:tab w:val="left" w:pos="1950" w:leader="none"/>
        </w:tabs>
        <w:jc w:val="both"/>
        <w:rPr>
          <w:bCs/>
        </w:rPr>
      </w:pPr>
      <w:r>
        <w:rPr>
          <w:bCs/>
        </w:rPr>
        <w:tab/>
        <w:t>6). Охрана окружающей среды – 3 381,8 тыс. руб., 100% от плана, 8455% к 2024 г.</w:t>
      </w:r>
    </w:p>
    <w:p>
      <w:pPr>
        <w:pStyle w:val="Normal"/>
        <w:tabs>
          <w:tab w:val="left" w:pos="708" w:leader="none"/>
          <w:tab w:val="left" w:pos="1950" w:leader="none"/>
        </w:tabs>
        <w:jc w:val="both"/>
        <w:rPr>
          <w:bCs/>
        </w:rPr>
      </w:pPr>
      <w:r>
        <w:rPr>
          <w:bCs/>
        </w:rPr>
        <w:tab/>
        <w:t>7). Культура, кинематография – 28 688,8 тыс. руб., 100% от плана, 107,5% к 2024 г.</w:t>
      </w:r>
    </w:p>
    <w:p>
      <w:pPr>
        <w:pStyle w:val="Normal"/>
        <w:tabs>
          <w:tab w:val="left" w:pos="708" w:leader="none"/>
          <w:tab w:val="left" w:pos="1950" w:leader="none"/>
        </w:tabs>
        <w:ind w:firstLine="708"/>
        <w:jc w:val="both"/>
        <w:rPr>
          <w:bCs/>
        </w:rPr>
      </w:pPr>
      <w:r>
        <w:rPr>
          <w:bCs/>
        </w:rPr>
        <w:t>8). Социальная политика – 692,0 тыс. руб., 100% от плана, 93,2% от уровня 2024 г.</w:t>
      </w:r>
    </w:p>
    <w:p>
      <w:pPr>
        <w:pStyle w:val="Normal"/>
        <w:tabs>
          <w:tab w:val="left" w:pos="708" w:leader="none"/>
          <w:tab w:val="left" w:pos="1950" w:leader="none"/>
        </w:tabs>
        <w:jc w:val="both"/>
        <w:rPr>
          <w:bCs/>
        </w:rPr>
      </w:pPr>
      <w:r>
        <w:rPr>
          <w:bCs/>
        </w:rPr>
        <w:tab/>
        <w:t>9). Физическая культура и спорт – 15 085,7 тыс. руб., 100% от плана, 113,5% к 2024 г.</w:t>
      </w:r>
    </w:p>
    <w:p>
      <w:pPr>
        <w:pStyle w:val="Normal"/>
        <w:ind w:firstLine="708"/>
        <w:jc w:val="both"/>
        <w:rPr>
          <w:bCs/>
        </w:rPr>
      </w:pPr>
      <w:r>
        <w:rPr>
          <w:bCs/>
        </w:rPr>
      </w:r>
    </w:p>
    <w:p>
      <w:pPr>
        <w:pStyle w:val="Normal"/>
        <w:ind w:firstLine="708"/>
        <w:jc w:val="both"/>
        <w:rPr>
          <w:bCs/>
        </w:rPr>
      </w:pPr>
      <w:r>
        <w:rPr>
          <w:bCs/>
        </w:rPr>
        <w:t>На конец финансового года объем неисполненных бюджетных назначений составил 3 659,7 тыс. руб., в том числе по разделам:</w:t>
      </w:r>
    </w:p>
    <w:p>
      <w:pPr>
        <w:pStyle w:val="Normal"/>
        <w:ind w:firstLine="708"/>
        <w:jc w:val="both"/>
        <w:rPr>
          <w:bCs/>
        </w:rPr>
      </w:pPr>
      <w:r>
        <w:rPr>
          <w:bCs/>
        </w:rPr>
        <w:t>- общегосударственные расходы – 410,7 тыс. руб.;</w:t>
      </w:r>
    </w:p>
    <w:p>
      <w:pPr>
        <w:pStyle w:val="Normal"/>
        <w:ind w:firstLine="708"/>
        <w:jc w:val="both"/>
        <w:rPr>
          <w:bCs/>
        </w:rPr>
      </w:pPr>
      <w:r>
        <w:rPr>
          <w:bCs/>
        </w:rPr>
        <w:t>- национальная безопасность и правоохранительная деятельность – 8,7 тыс. руб.;</w:t>
      </w:r>
    </w:p>
    <w:p>
      <w:pPr>
        <w:pStyle w:val="Normal"/>
        <w:ind w:firstLine="708"/>
        <w:jc w:val="both"/>
        <w:rPr>
          <w:bCs/>
        </w:rPr>
      </w:pPr>
      <w:r>
        <w:rPr>
          <w:bCs/>
        </w:rPr>
        <w:t>- национальная экономика – 2 109,1  тыс. руб.;</w:t>
      </w:r>
    </w:p>
    <w:p>
      <w:pPr>
        <w:pStyle w:val="Normal"/>
        <w:ind w:firstLine="708"/>
        <w:jc w:val="both"/>
        <w:rPr>
          <w:bCs/>
        </w:rPr>
      </w:pPr>
      <w:r>
        <w:rPr>
          <w:bCs/>
        </w:rPr>
        <w:t>- жилищно – коммунальное хозяйство – 1 131,2 тыс. руб.</w:t>
      </w:r>
    </w:p>
    <w:p>
      <w:pPr>
        <w:pStyle w:val="Normal"/>
        <w:tabs>
          <w:tab w:val="clear" w:pos="708"/>
          <w:tab w:val="left" w:pos="2025" w:leader="none"/>
        </w:tabs>
        <w:ind w:firstLine="708"/>
        <w:jc w:val="both"/>
        <w:rPr>
          <w:bCs/>
          <w:highlight w:val="green"/>
        </w:rPr>
      </w:pPr>
      <w:r>
        <w:rPr>
          <w:bCs/>
          <w:highlight w:val="green"/>
        </w:rPr>
      </w:r>
    </w:p>
    <w:p>
      <w:pPr>
        <w:pStyle w:val="Normal"/>
        <w:tabs>
          <w:tab w:val="clear" w:pos="708"/>
          <w:tab w:val="left" w:pos="2025" w:leader="none"/>
        </w:tabs>
        <w:ind w:firstLine="708"/>
        <w:jc w:val="both"/>
        <w:rPr>
          <w:bCs/>
        </w:rPr>
      </w:pPr>
      <w:r>
        <w:rPr>
          <w:bCs/>
        </w:rPr>
        <w:t>Динамика и исполнение утвержденных бюджетных назначений по разделам и подразделам классификации расходов приведены в Приложении № 2.</w:t>
      </w:r>
      <w:r>
        <w:rPr/>
        <w:t xml:space="preserve"> </w:t>
      </w:r>
    </w:p>
    <w:p>
      <w:pPr>
        <w:pStyle w:val="Normal"/>
        <w:tabs>
          <w:tab w:val="left" w:pos="708" w:leader="none"/>
          <w:tab w:val="left" w:pos="1950" w:leader="none"/>
        </w:tabs>
        <w:jc w:val="both"/>
        <w:rPr>
          <w:bCs/>
        </w:rPr>
      </w:pPr>
      <w:r>
        <w:rPr>
          <w:bCs/>
        </w:rPr>
      </w:r>
    </w:p>
    <w:p>
      <w:pPr>
        <w:pStyle w:val="Normal"/>
        <w:ind w:firstLine="708"/>
        <w:jc w:val="both"/>
        <w:rPr>
          <w:bCs/>
        </w:rPr>
      </w:pPr>
      <w:r>
        <w:rPr>
          <w:bCs/>
        </w:rPr>
        <w:t>3.3.2. В соответствии с п. 9 Решения о бюджете в составе расходов гп. Талинка утвержден резервный фонд в объеме 133,4 тыс. руб.</w:t>
      </w:r>
    </w:p>
    <w:p>
      <w:pPr>
        <w:pStyle w:val="Normal"/>
        <w:ind w:firstLine="708"/>
        <w:jc w:val="both"/>
        <w:rPr>
          <w:bCs/>
        </w:rPr>
      </w:pPr>
      <w:r>
        <w:rPr>
          <w:bCs/>
        </w:rPr>
        <w:t xml:space="preserve">По данным постановления администрации гп. Талинка от 05.12.2025 №328 «О выделении денежных средств из резервного фонда» было выделено 133,4 тыс. руб. на приобретение бензореза с комплектующими дисками для резки бетона – 2 шт., тепловые пушки – 5шт. </w:t>
      </w:r>
    </w:p>
    <w:p>
      <w:pPr>
        <w:pStyle w:val="Normal"/>
        <w:tabs>
          <w:tab w:val="clear" w:pos="708"/>
          <w:tab w:val="left" w:pos="2025" w:leader="none"/>
        </w:tabs>
        <w:ind w:firstLine="708"/>
        <w:jc w:val="both"/>
        <w:rPr>
          <w:bCs/>
        </w:rPr>
      </w:pPr>
      <w:r>
        <w:rPr>
          <w:bCs/>
        </w:rPr>
      </w:r>
    </w:p>
    <w:p>
      <w:pPr>
        <w:pStyle w:val="Normal"/>
        <w:tabs>
          <w:tab w:val="clear" w:pos="708"/>
          <w:tab w:val="left" w:pos="2025" w:leader="none"/>
        </w:tabs>
        <w:ind w:firstLine="708"/>
        <w:jc w:val="both"/>
        <w:rPr>
          <w:bCs/>
        </w:rPr>
      </w:pPr>
      <w:r>
        <w:rPr>
          <w:bCs/>
        </w:rPr>
        <w:t>3.3.3. Плановый объем Дорожного фонда утвержден в сумме 61 982,8 тыс. руб., фактически Дорожный фонд сформирован в сумме 61 661,6 тыс. руб. Расходы дорожного фонда составили 59873,7 тыс. руб., остаток на 01.01.2026 – 1 787,9 тыс. руб.</w:t>
      </w:r>
    </w:p>
    <w:p>
      <w:pPr>
        <w:pStyle w:val="Normal"/>
        <w:tabs>
          <w:tab w:val="clear" w:pos="708"/>
          <w:tab w:val="left" w:pos="1155" w:leader="none"/>
        </w:tabs>
        <w:ind w:firstLine="708"/>
        <w:jc w:val="both"/>
        <w:rPr>
          <w:bCs/>
        </w:rPr>
      </w:pPr>
      <w:r>
        <w:rPr>
          <w:bCs/>
        </w:rPr>
      </w:r>
    </w:p>
    <w:p>
      <w:pPr>
        <w:pStyle w:val="Normal"/>
        <w:ind w:firstLine="708"/>
        <w:jc w:val="both"/>
        <w:rPr>
          <w:b/>
          <w:bCs/>
        </w:rPr>
      </w:pPr>
      <w:r>
        <w:rPr>
          <w:b/>
          <w:bCs/>
        </w:rPr>
        <w:t>3.3.3. Участие в реализации мероприятий муниципальных программ.</w:t>
      </w:r>
    </w:p>
    <w:p>
      <w:pPr>
        <w:pStyle w:val="Normal"/>
        <w:ind w:firstLine="708"/>
        <w:jc w:val="both"/>
        <w:rPr>
          <w:bCs/>
        </w:rPr>
      </w:pPr>
      <w:r>
        <w:rPr>
          <w:bCs/>
        </w:rPr>
        <w:t>1). В рамках муниципальной программы «Улучшение условий и охраны труда, развитие социального партнерства и содействие занятости населения в муниципальном образовании Октябрьский район», утвержденной постановлением администрации Октябрьского района от 06.12.2024 №1896, на основании соглашений: от 23.12.2025, от 14.01.2025 в ред. от 23.12.2025 поселению предоставлены иные межбюджетные трансферты (далее – ИМБТ) на содействие трудоустройству безработных граждан в сумме 3 470,7 тыс. руб., в т.ч. за счет средств бюджета округа – 1 027,9 тыс. руб., за счет средств бюджета района – 2 442,8 тыс. руб.</w:t>
      </w:r>
    </w:p>
    <w:p>
      <w:pPr>
        <w:pStyle w:val="Normal"/>
        <w:ind w:firstLine="708"/>
        <w:jc w:val="both"/>
        <w:rPr>
          <w:bCs/>
        </w:rPr>
      </w:pPr>
      <w:r>
        <w:rPr>
          <w:bCs/>
        </w:rPr>
        <w:t>Решением о бюджете, бюджетной росписью поселения расходы на реализацию мероприятия утверждены по КБК:</w:t>
      </w:r>
    </w:p>
    <w:p>
      <w:pPr>
        <w:pStyle w:val="Normal"/>
        <w:ind w:firstLine="708"/>
        <w:jc w:val="both"/>
        <w:rPr>
          <w:bCs/>
        </w:rPr>
      </w:pPr>
      <w:r>
        <w:rPr>
          <w:bCs/>
        </w:rPr>
        <w:t>- 0401 4050185060 612 241 в сумме 1 027,9 тыс. руб.;</w:t>
      </w:r>
    </w:p>
    <w:p>
      <w:pPr>
        <w:pStyle w:val="Normal"/>
        <w:ind w:firstLine="708"/>
        <w:jc w:val="both"/>
        <w:rPr>
          <w:bCs/>
        </w:rPr>
      </w:pPr>
      <w:r>
        <w:rPr>
          <w:bCs/>
        </w:rPr>
        <w:t>- 0401 4050089191 612 241 в сумме 2 442,8 тыс. руб.;</w:t>
      </w:r>
    </w:p>
    <w:p>
      <w:pPr>
        <w:pStyle w:val="Normal"/>
        <w:ind w:firstLine="708"/>
        <w:jc w:val="both"/>
        <w:rPr>
          <w:bCs/>
        </w:rPr>
      </w:pPr>
      <w:r>
        <w:rPr>
          <w:bCs/>
        </w:rPr>
        <w:t xml:space="preserve">Исполнение составило 100,0%. </w:t>
      </w:r>
    </w:p>
    <w:p>
      <w:pPr>
        <w:pStyle w:val="Normal"/>
        <w:ind w:firstLine="708"/>
        <w:jc w:val="both"/>
        <w:rPr>
          <w:bCs/>
        </w:rPr>
      </w:pPr>
      <w:r>
        <w:rPr>
          <w:bCs/>
        </w:rPr>
        <w:t>Администрацией поселения предоставлена субсидия на иные цели подведомственному муниципальному бюджетному учреждению «Центр культуры и спорта гп Талинка» (далее – МБУ «ЦКС», подведомственное учреждение).</w:t>
      </w:r>
    </w:p>
    <w:p>
      <w:pPr>
        <w:pStyle w:val="Normal"/>
        <w:ind w:firstLine="708"/>
        <w:jc w:val="both"/>
        <w:rPr>
          <w:bCs/>
        </w:rPr>
      </w:pPr>
      <w:r>
        <w:rPr>
          <w:bCs/>
        </w:rPr>
        <w:t>2). В рамках муниципальной программы «Развитие агропромышленного комплекса в муниципальном образовании Октябрьский район», утвержденной постановлением администрации Октябрьского района от 06.12.2024 №1897, на основании соглашения от 10.01.2025 на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 за счет средств бюджета района переданы ИМБТ в сумме 100,0 тыс. руб., плановое значение показателей достижения результатов предоставления ИМБТ соглашением не установлено.</w:t>
      </w:r>
    </w:p>
    <w:p>
      <w:pPr>
        <w:pStyle w:val="Normal"/>
        <w:ind w:firstLine="708"/>
        <w:jc w:val="both"/>
        <w:rPr>
          <w:bCs/>
        </w:rPr>
      </w:pPr>
      <w:r>
        <w:rPr>
          <w:bCs/>
        </w:rPr>
        <w:t>Решением о бюджете, бюджетной росписью поселения расходы на реализацию мероприятия утверждены по КБК 0405 4030089051 244 226 в сумме 100,0 тыс. руб.</w:t>
      </w:r>
    </w:p>
    <w:p>
      <w:pPr>
        <w:pStyle w:val="Normal"/>
        <w:ind w:firstLine="708"/>
        <w:jc w:val="both"/>
        <w:rPr>
          <w:bCs/>
        </w:rPr>
      </w:pPr>
      <w:r>
        <w:rPr>
          <w:bCs/>
        </w:rPr>
        <w:t>Исполнение составило 100,0%.</w:t>
      </w:r>
    </w:p>
    <w:p>
      <w:pPr>
        <w:pStyle w:val="Normal"/>
        <w:ind w:firstLine="708"/>
        <w:jc w:val="both"/>
        <w:rPr>
          <w:bCs/>
        </w:rPr>
      </w:pPr>
      <w:r>
        <w:rPr>
          <w:bCs/>
        </w:rPr>
        <w:t>Администрацией поселения заключен муниципальный контракт</w:t>
      </w:r>
      <w:r>
        <w:rPr/>
        <w:t xml:space="preserve"> </w:t>
      </w:r>
      <w:r>
        <w:rPr>
          <w:bCs/>
        </w:rPr>
        <w:t xml:space="preserve">№0187300015425000002 от 17.02.2025 с ИП Иванов В.И. на оказание услуг по обращению с животными без владельцев на сумму 300,0 тыс. руб. (далее – МК №2). По данным акта приемки выполненных работ (оказанных услуг), экспертного заключения о результатах оказанных услуг от 03.06.2025, ИП Иванов В.И. услуги оказаны в полном объеме на сумму 299,6 тыс. руб., осуществлен отлов 13 животных без владельцев, но с нарушением установленных сроков на 19 дней. </w:t>
      </w:r>
    </w:p>
    <w:p>
      <w:pPr>
        <w:pStyle w:val="Normal"/>
        <w:ind w:firstLine="708"/>
        <w:jc w:val="both"/>
        <w:rPr>
          <w:bCs/>
        </w:rPr>
      </w:pPr>
      <w:r>
        <w:rPr>
          <w:bCs/>
        </w:rPr>
        <w:t xml:space="preserve">2.1). В соответствии с ч. 6 ст. 34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№44-ФЗ) в случае просрочки исполнения поставщиком обязательств, предусмотренных контрактом, </w:t>
      </w:r>
      <w:r>
        <w:rPr>
          <w:b/>
          <w:bCs/>
        </w:rPr>
        <w:t>заказчик обязан</w:t>
      </w:r>
      <w:r>
        <w:rPr>
          <w:bCs/>
        </w:rPr>
        <w:t xml:space="preserve"> направить поставщику требование об уплате неустойки.</w:t>
      </w:r>
    </w:p>
    <w:p>
      <w:pPr>
        <w:pStyle w:val="Normal"/>
        <w:ind w:firstLine="708"/>
        <w:jc w:val="both"/>
        <w:rPr>
          <w:bCs/>
        </w:rPr>
      </w:pPr>
      <w:r>
        <w:rPr>
          <w:bCs/>
        </w:rPr>
        <w:t>Согласно п. 7.9. МК №28 за каждый день просрочки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w:t>
      </w:r>
    </w:p>
    <w:p>
      <w:pPr>
        <w:pStyle w:val="Normal"/>
        <w:ind w:firstLine="708"/>
        <w:jc w:val="both"/>
        <w:rPr>
          <w:bCs/>
        </w:rPr>
      </w:pPr>
      <w:r>
        <w:rPr>
          <w:bCs/>
        </w:rPr>
        <w:t>Администрацией поселения в адрес подрядчика направлена претензия с требованием об уплате неустойки в связи с нарушением сроков оказания услуг в сумме 4,0 тыс. руб.</w:t>
      </w:r>
    </w:p>
    <w:p>
      <w:pPr>
        <w:pStyle w:val="Normal"/>
        <w:ind w:firstLine="708"/>
        <w:jc w:val="both"/>
        <w:rPr>
          <w:bCs/>
        </w:rPr>
      </w:pPr>
      <w:r>
        <w:rPr>
          <w:bCs/>
        </w:rPr>
        <w:t xml:space="preserve">В соответствии с ч. 14 ст. 34 Закона №44-ФЗ условиями МК №2 предусмотрено: </w:t>
      </w:r>
    </w:p>
    <w:p>
      <w:pPr>
        <w:pStyle w:val="Normal"/>
        <w:ind w:firstLine="708"/>
        <w:jc w:val="both"/>
        <w:rPr>
          <w:bCs/>
        </w:rPr>
      </w:pPr>
      <w:r>
        <w:rPr>
          <w:bCs/>
        </w:rPr>
        <w:t>- обеспечение исполнения контракта в сумме 15,0 тыс. руб., которые подлежат возврату в части, оставшейся после удовлетворения требований заказчика по выплате неустойки, штрафа, пени (п. 6.2, п. 6.7, п. 6.8 контракта);</w:t>
      </w:r>
    </w:p>
    <w:p>
      <w:pPr>
        <w:pStyle w:val="Normal"/>
        <w:ind w:firstLine="708"/>
        <w:jc w:val="both"/>
        <w:rPr>
          <w:bCs/>
        </w:rPr>
      </w:pPr>
      <w:r>
        <w:rPr>
          <w:bCs/>
        </w:rPr>
        <w:t>- удержание суммы неустойки из суммы контракта (п. 7.13 контракта).</w:t>
      </w:r>
    </w:p>
    <w:p>
      <w:pPr>
        <w:pStyle w:val="Normal"/>
        <w:ind w:firstLine="708"/>
        <w:jc w:val="both"/>
        <w:rPr>
          <w:bCs/>
        </w:rPr>
      </w:pPr>
      <w:r>
        <w:rPr>
          <w:b/>
          <w:bCs/>
        </w:rPr>
        <w:t>В нарушение положений ч. 14 ст. 34 Закона №44-ФЗ, п. 7.13</w:t>
      </w:r>
      <w:r>
        <w:rPr>
          <w:bCs/>
        </w:rPr>
        <w:t xml:space="preserve"> </w:t>
      </w:r>
      <w:r>
        <w:rPr>
          <w:b/>
          <w:bCs/>
        </w:rPr>
        <w:t>МК</w:t>
      </w:r>
      <w:r>
        <w:rPr>
          <w:bCs/>
        </w:rPr>
        <w:t xml:space="preserve"> №2 платежным поручением № 761994 от 20.06.2025 бюджетные средства перечислены ИП Иванов В.И. в сумме 299,6 тыс. руб., то есть без удержания суммы неустойки.</w:t>
      </w:r>
    </w:p>
    <w:p>
      <w:pPr>
        <w:pStyle w:val="Normal"/>
        <w:ind w:firstLine="708"/>
        <w:jc w:val="both"/>
        <w:rPr>
          <w:bCs/>
        </w:rPr>
      </w:pPr>
      <w:r>
        <w:rPr>
          <w:bCs/>
        </w:rPr>
        <w:t xml:space="preserve">В соответствии с ч. 9.1. ст. 34 Закона №44-ФЗ Постановлением Правительства РФ от 04.07.2018 № 783 «О списании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 (далее – Постановление №783) утверждены порядок и случаи списания начисленных и неуплаченных сумм неустоек (штрафов, пеней). </w:t>
      </w:r>
    </w:p>
    <w:p>
      <w:pPr>
        <w:pStyle w:val="Normal"/>
        <w:ind w:firstLine="708"/>
        <w:jc w:val="both"/>
        <w:rPr>
          <w:bCs/>
        </w:rPr>
      </w:pPr>
      <w:r>
        <w:rPr>
          <w:bCs/>
        </w:rPr>
        <w:t xml:space="preserve">В соответствии с положениями Постановления №783 заказчиком может осуществляться списание начисленных </w:t>
      </w:r>
      <w:r>
        <w:rPr>
          <w:b/>
          <w:bCs/>
        </w:rPr>
        <w:t>и неуплаченных</w:t>
      </w:r>
      <w:r>
        <w:rPr>
          <w:bCs/>
        </w:rPr>
        <w:t xml:space="preserve"> сумм неустоек (штрафов, пеней).</w:t>
      </w:r>
    </w:p>
    <w:p>
      <w:pPr>
        <w:pStyle w:val="Normal"/>
        <w:ind w:firstLine="708"/>
        <w:jc w:val="both"/>
        <w:rPr>
          <w:bCs/>
        </w:rPr>
      </w:pPr>
      <w:r>
        <w:rPr>
          <w:bCs/>
        </w:rPr>
        <w:t>В соответствии с разъяснениями Минфина РФ, приведенными в письмах от 11.05.2022 №24-06-07/42955, от 22.12.2023 № 02-06-10/125371, от 11.03.2024 № 24-06-06/21161, от 15.07.2024 № 24-06-09/65733, если заказчик включил в контракт условие, предусмотренное п. 2 ч. 14 ст. 34 Закона №44-ФЗ, то заказчик обязан применить соответствующие меры ответственности, в том числе в части удержания суммы требований об уплате неустоек (штрафов, пеней) из суммы, подлежащей оплате поставщику (подрядчику, исполнителю) по такому контракту, и в данном случае положения Постановления №783 о списании пеней – не применяется.</w:t>
      </w:r>
    </w:p>
    <w:p>
      <w:pPr>
        <w:pStyle w:val="Normal"/>
        <w:ind w:firstLine="708"/>
        <w:jc w:val="both"/>
        <w:rPr>
          <w:b/>
          <w:bCs/>
        </w:rPr>
      </w:pPr>
      <w:r>
        <w:rPr>
          <w:bCs/>
        </w:rPr>
        <w:t xml:space="preserve">На основании акта комиссии по поступлению и выбытию активов, постановления от 09.06.2025 №151 начисленные пени за нарушение сроков исполнения обязательств ИП Иванов В.И. </w:t>
      </w:r>
      <w:r>
        <w:rPr>
          <w:b/>
          <w:bCs/>
        </w:rPr>
        <w:t xml:space="preserve">неправомерно списаны </w:t>
      </w:r>
      <w:r>
        <w:rPr>
          <w:bCs/>
        </w:rPr>
        <w:t xml:space="preserve">09.06.2025, то есть еще до оплаты по контракту. </w:t>
      </w:r>
    </w:p>
    <w:p>
      <w:pPr>
        <w:pStyle w:val="Normal"/>
        <w:ind w:firstLine="708"/>
        <w:jc w:val="both"/>
        <w:rPr>
          <w:bCs/>
        </w:rPr>
      </w:pPr>
      <w:r>
        <w:rPr>
          <w:bCs/>
        </w:rPr>
        <w:t xml:space="preserve">В соответствии с п. 16 ст. 46 БК РФ суммы штрафов, неустоек, пеней, которые должны быть уплачены юридическим или физическим лицом в соответствии с законом или договором в случае неисполнения или ненадлежащего исполнения обязательств перед государственным (муниципальным) органом, государственным внебюджетным фондом, казенным учреждением, подлежат зачислению в полном объеме в бюджет бюджетной системы Российской Федерации, получателем средств которого являются указанные орган, учреждение. </w:t>
      </w:r>
    </w:p>
    <w:p>
      <w:pPr>
        <w:pStyle w:val="Normal"/>
        <w:ind w:firstLine="708"/>
        <w:jc w:val="both"/>
        <w:rPr>
          <w:bCs/>
        </w:rPr>
      </w:pPr>
      <w:r>
        <w:rPr>
          <w:bCs/>
        </w:rPr>
        <w:t>В соответствии с п. 2. ст. 160.1 БК РФ в перечень полномочий администратора доходов бюджета включены:</w:t>
      </w:r>
    </w:p>
    <w:p>
      <w:pPr>
        <w:pStyle w:val="Normal"/>
        <w:ind w:firstLine="708"/>
        <w:jc w:val="both"/>
        <w:rPr>
          <w:bCs/>
        </w:rPr>
      </w:pPr>
      <w:r>
        <w:rPr>
          <w:bCs/>
        </w:rPr>
        <w:t xml:space="preserve">- начисление, учет и контроль за правильностью исчисления, полнотой и своевременностью осуществления платежей в бюджет, пеней и штрафов по ним; </w:t>
      </w:r>
    </w:p>
    <w:p>
      <w:pPr>
        <w:pStyle w:val="Normal"/>
        <w:ind w:firstLine="708"/>
        <w:jc w:val="both"/>
        <w:rPr>
          <w:bCs/>
        </w:rPr>
      </w:pPr>
      <w:r>
        <w:rPr>
          <w:bCs/>
        </w:rPr>
        <w:t xml:space="preserve">- взыскание задолженности по платежам в бюджет, пеней и штрафов; </w:t>
      </w:r>
    </w:p>
    <w:p>
      <w:pPr>
        <w:pStyle w:val="Normal"/>
        <w:ind w:firstLine="708"/>
        <w:jc w:val="both"/>
        <w:rPr>
          <w:bCs/>
        </w:rPr>
      </w:pPr>
      <w:r>
        <w:rPr>
          <w:bCs/>
        </w:rPr>
        <w:t>- принятие решения о признании безнадежной к взысканию задолженности по платежам в бюджет;</w:t>
      </w:r>
    </w:p>
    <w:p>
      <w:pPr>
        <w:pStyle w:val="Normal"/>
        <w:ind w:firstLine="708"/>
        <w:jc w:val="both"/>
        <w:rPr>
          <w:bCs/>
        </w:rPr>
      </w:pPr>
      <w:r>
        <w:rPr>
          <w:bCs/>
        </w:rPr>
        <w:t>- утверждение регламента реализации полномочий по взысканию дебиторской задолженности по платежам в бюджет, пеням и штрафам по ним, разработанный в соответствии с общими требованиями, установленными Министерством финансов Российской Федерации.</w:t>
      </w:r>
    </w:p>
    <w:p>
      <w:pPr>
        <w:pStyle w:val="Normal"/>
        <w:ind w:firstLine="708"/>
        <w:jc w:val="both"/>
        <w:rPr>
          <w:bCs/>
        </w:rPr>
      </w:pPr>
      <w:r>
        <w:rPr>
          <w:bCs/>
        </w:rPr>
        <w:t>Согласно положениям Письма Минфина России от 30.11.2020 № 02-07-07/104383 «О направлении Методических рекомендаций по применению федерального стандарта бухгалтерского учета государственных финансов «Финансовые инструменты» для целей бухгалтерского учета, формирования и публичного раскрытия показателей бухгалтерской (финансовой) отчетности активом признается имущество, включая имущественные права (дебиторскую задолженность), принадлежащее субъекту учета и (или) находящееся в его пользовании, контролируемое им в результате произошедших фактов хозяйственной жизни, от которого ожидается поступление полезного потенциала или экономических выгод.</w:t>
      </w:r>
    </w:p>
    <w:p>
      <w:pPr>
        <w:pStyle w:val="Normal"/>
        <w:ind w:firstLine="708"/>
        <w:jc w:val="both"/>
        <w:rPr>
          <w:bCs/>
        </w:rPr>
      </w:pPr>
      <w:r>
        <w:rPr>
          <w:bCs/>
        </w:rPr>
        <w:t xml:space="preserve">В случае если дебиторская задолженность не соответствует критериям признания активов - дебиторская задолженность не погашена в установленный срок, то комиссия по поступлению и выбытию активов администратора доходов бюджета (далее - Комиссия учреждения) принимает решение о ее списании с балансового учета. </w:t>
      </w:r>
    </w:p>
    <w:p>
      <w:pPr>
        <w:pStyle w:val="Normal"/>
        <w:ind w:firstLine="708"/>
        <w:jc w:val="both"/>
        <w:rPr>
          <w:bCs/>
        </w:rPr>
      </w:pPr>
      <w:r>
        <w:rPr>
          <w:bCs/>
        </w:rPr>
        <w:t xml:space="preserve">При этом в случае возможности возобновления согласно законодательству Российской Федерации процедуры взыскания просроченной дебиторской задолженности создается резерв по сомнительной дебиторской задолженности, формируемый на забалансовом счете 04 «Задолженность неплатежеспособных дебиторов» в сумме задолженности, подлежащей взысканию. </w:t>
      </w:r>
    </w:p>
    <w:p>
      <w:pPr>
        <w:pStyle w:val="Normal"/>
        <w:ind w:firstLine="708"/>
        <w:jc w:val="both"/>
        <w:rPr>
          <w:bCs/>
        </w:rPr>
      </w:pPr>
      <w:r>
        <w:rPr>
          <w:bCs/>
        </w:rPr>
        <w:t xml:space="preserve">Решение Комиссии учреждения о списании с балансового учета учреждения задолженности неплатежеспособных дебиторов принимается с учетом: </w:t>
      </w:r>
    </w:p>
    <w:p>
      <w:pPr>
        <w:pStyle w:val="Normal"/>
        <w:ind w:firstLine="708"/>
        <w:jc w:val="both"/>
        <w:rPr>
          <w:bCs/>
        </w:rPr>
      </w:pPr>
      <w:r>
        <w:rPr>
          <w:bCs/>
        </w:rPr>
        <w:t xml:space="preserve">- сведений, выявленных в ходе проведения инвентаризации, в отношении дебиторской задолженности, обладающей признаками нереальной к взысканию; </w:t>
      </w:r>
    </w:p>
    <w:p>
      <w:pPr>
        <w:pStyle w:val="Normal"/>
        <w:ind w:firstLine="708"/>
        <w:jc w:val="both"/>
        <w:rPr>
          <w:bCs/>
        </w:rPr>
      </w:pPr>
      <w:r>
        <w:rPr>
          <w:bCs/>
        </w:rPr>
        <w:t xml:space="preserve">- документов, подтверждающих наличие рисков невозможности взыскания дебиторской задолженности. </w:t>
      </w:r>
    </w:p>
    <w:p>
      <w:pPr>
        <w:pStyle w:val="Normal"/>
        <w:ind w:firstLine="708"/>
        <w:jc w:val="both"/>
        <w:rPr>
          <w:bCs/>
        </w:rPr>
      </w:pPr>
      <w:r>
        <w:rPr>
          <w:bCs/>
        </w:rPr>
        <w:t xml:space="preserve">При этом при оценке Комиссией учреждения оснований для списания с балансового учета дебиторской задолженности по платежам в бюджет, имеющей признаки безнадежной к взысканию (далее - сомнительная задолженность), следует принимать во внимание полноту и своевременность предпринятых администратором доходов бюджета мер по обеспечению ее взыскания. </w:t>
      </w:r>
    </w:p>
    <w:p>
      <w:pPr>
        <w:pStyle w:val="Normal"/>
        <w:ind w:firstLine="708"/>
        <w:jc w:val="both"/>
        <w:rPr>
          <w:bCs/>
        </w:rPr>
      </w:pPr>
      <w:r>
        <w:rPr>
          <w:bCs/>
        </w:rPr>
        <w:t xml:space="preserve">В случае недостаточности (несвоевременности) предпринятых мер по обеспечению взыскания дебиторской задолженности по платежам в бюджет (в том числе в результате бездействия уполномоченных лиц), повлекших возникновение оснований для ее признания сомнительной задолженностью или задолженностью нереальной к взысканию, Комиссии учреждения следует провести оценку причиненного ущерба бюджету в виде недополученных бюджетом доходов в результате указанных действий (бездействия) должностных лиц администратора доходов бюджета. </w:t>
      </w:r>
    </w:p>
    <w:p>
      <w:pPr>
        <w:pStyle w:val="Normal"/>
        <w:ind w:firstLine="708"/>
        <w:jc w:val="both"/>
        <w:rPr>
          <w:b/>
          <w:bCs/>
        </w:rPr>
      </w:pPr>
      <w:r>
        <w:rPr>
          <w:b/>
          <w:bCs/>
        </w:rPr>
        <w:t xml:space="preserve">В нарушение п. 2 ст. 160.1 БК РФ, ч. 6 ст. 34 Закона №44-ФЗ, условий МК №2 администрацией поселения не приняты меры по обеспечению взыскания дебиторской задолженности по платежам в бюджет поселения. </w:t>
      </w:r>
    </w:p>
    <w:p>
      <w:pPr>
        <w:pStyle w:val="Normal"/>
        <w:ind w:firstLine="708"/>
        <w:jc w:val="both"/>
        <w:rPr>
          <w:bCs/>
        </w:rPr>
      </w:pPr>
      <w:r>
        <w:rPr>
          <w:bCs/>
        </w:rPr>
      </w:r>
    </w:p>
    <w:p>
      <w:pPr>
        <w:pStyle w:val="Normal"/>
        <w:ind w:firstLine="708"/>
        <w:jc w:val="both"/>
        <w:rPr>
          <w:bCs/>
        </w:rPr>
      </w:pPr>
      <w:r>
        <w:rPr>
          <w:bCs/>
        </w:rPr>
        <w:t>2.2). По данным журнала операций № 4 «Расчеты с поставщиками и подрядчиками» (далее – журнал №4) расходы на оплату МК №2 приняты к учету по счетам:</w:t>
      </w:r>
    </w:p>
    <w:p>
      <w:pPr>
        <w:pStyle w:val="Normal"/>
        <w:ind w:firstLine="708"/>
        <w:jc w:val="both"/>
        <w:rPr>
          <w:bCs/>
        </w:rPr>
      </w:pPr>
      <w:r>
        <w:rPr>
          <w:bCs/>
        </w:rPr>
        <w:t>- 04054030089051244.1.401.20.226 – 100,0 тыс. руб.;</w:t>
      </w:r>
    </w:p>
    <w:p>
      <w:pPr>
        <w:pStyle w:val="Normal"/>
        <w:ind w:firstLine="708"/>
        <w:jc w:val="both"/>
        <w:rPr>
          <w:bCs/>
        </w:rPr>
      </w:pPr>
      <w:r>
        <w:rPr>
          <w:bCs/>
        </w:rPr>
        <w:t>- 05034060099990244.1.401.20.226 – 199,6 тыс. руб., то есть расходы в рамках одного контракта классифицированы по разным подразделам бюджетной классификации расходов.</w:t>
      </w:r>
    </w:p>
    <w:p>
      <w:pPr>
        <w:pStyle w:val="Normal"/>
        <w:ind w:firstLine="708"/>
        <w:jc w:val="both"/>
        <w:rPr>
          <w:bCs/>
        </w:rPr>
      </w:pPr>
      <w:r>
        <w:rPr>
          <w:bCs/>
        </w:rPr>
        <w:t xml:space="preserve">По данным расшифровки расходов, журнала №4 аналогичные расходы на оплату муниципального контракта №106 от 18.12.2025 с ИП Матвеев А.Н. на содержание безнадзорных животных на сумму 99,8 тыс. руб. также классифицированы по несоответствующему подразделу 0503. </w:t>
      </w:r>
    </w:p>
    <w:p>
      <w:pPr>
        <w:pStyle w:val="Normal"/>
        <w:ind w:firstLine="708"/>
        <w:jc w:val="both"/>
        <w:rPr>
          <w:b/>
          <w:bCs/>
        </w:rPr>
      </w:pPr>
      <w:r>
        <w:rPr>
          <w:b/>
          <w:bCs/>
        </w:rPr>
        <w:t>Нарушение порядка применения классификации расходов бюджета, бухгалтерского учета составило 299,4 тыс. руб.</w:t>
      </w:r>
    </w:p>
    <w:p>
      <w:pPr>
        <w:pStyle w:val="Normal"/>
        <w:ind w:firstLine="708"/>
        <w:jc w:val="both"/>
        <w:rPr>
          <w:bCs/>
        </w:rPr>
      </w:pPr>
      <w:r>
        <w:rPr>
          <w:bCs/>
        </w:rPr>
      </w:r>
    </w:p>
    <w:p>
      <w:pPr>
        <w:pStyle w:val="Normal"/>
        <w:ind w:firstLine="708"/>
        <w:jc w:val="both"/>
        <w:rPr>
          <w:bCs/>
        </w:rPr>
      </w:pPr>
      <w:r>
        <w:rPr>
          <w:bCs/>
        </w:rPr>
        <w:t>3). В рамках муниципальной программы «Безопасность жизнедеятельности в муниципальном образовании Октябрьский район», утвержденной постановлением администрации Октябрьского района от 06.12.2024 №1911, на основании соглашения от 14.04.2025 в ред. дополнительного соглашения без даты и номера за счет средств бюджета района поселению переданы ИМБТ в сумме 123,2 тыс. руб. на пополнение резерва материальных ресурсов (запасов) для предупреждения, ликвидации чрезвычайных ситуаций природного и техногенного характера.</w:t>
      </w:r>
    </w:p>
    <w:p>
      <w:pPr>
        <w:pStyle w:val="Normal"/>
        <w:ind w:firstLine="708"/>
        <w:jc w:val="both"/>
        <w:rPr>
          <w:bCs/>
        </w:rPr>
      </w:pPr>
      <w:r>
        <w:rPr>
          <w:bCs/>
        </w:rPr>
        <w:t>Решением о бюджете поселения расходы на реализацию мероприятия утверждены в сумме 123,2 тыс. руб. по КБК:</w:t>
      </w:r>
    </w:p>
    <w:p>
      <w:pPr>
        <w:pStyle w:val="Normal"/>
        <w:ind w:firstLine="708"/>
        <w:jc w:val="both"/>
        <w:rPr>
          <w:bCs/>
        </w:rPr>
      </w:pPr>
      <w:r>
        <w:rPr>
          <w:bCs/>
        </w:rPr>
        <w:t>- 0310 4020089141 244 310 – 113,8 тыс. руб.;</w:t>
      </w:r>
    </w:p>
    <w:p>
      <w:pPr>
        <w:pStyle w:val="Normal"/>
        <w:ind w:firstLine="708"/>
        <w:jc w:val="both"/>
        <w:rPr>
          <w:bCs/>
        </w:rPr>
      </w:pPr>
      <w:r>
        <w:rPr>
          <w:bCs/>
        </w:rPr>
        <w:t>- 0310 4020089141 244 346 – 9,4 тыс. руб.</w:t>
      </w:r>
    </w:p>
    <w:p>
      <w:pPr>
        <w:pStyle w:val="Normal"/>
        <w:ind w:firstLine="708"/>
        <w:jc w:val="both"/>
        <w:rPr>
          <w:bCs/>
        </w:rPr>
      </w:pPr>
      <w:r>
        <w:rPr>
          <w:bCs/>
        </w:rPr>
        <w:t>Исполнение составило 100,0%, приобретены: 2 мотокосы, тепловая пушка, сварочный инвертор, набор инструментов, канистра, удлинитель на катушке, свечи.</w:t>
      </w:r>
    </w:p>
    <w:p>
      <w:pPr>
        <w:pStyle w:val="Normal"/>
        <w:ind w:firstLine="708"/>
        <w:jc w:val="both"/>
        <w:rPr>
          <w:bCs/>
        </w:rPr>
      </w:pPr>
      <w:r>
        <w:rPr>
          <w:bCs/>
        </w:rPr>
      </w:r>
    </w:p>
    <w:p>
      <w:pPr>
        <w:pStyle w:val="Normal"/>
        <w:ind w:firstLine="708"/>
        <w:jc w:val="both"/>
        <w:rPr>
          <w:bCs/>
        </w:rPr>
      </w:pPr>
      <w:r>
        <w:rPr>
          <w:bCs/>
        </w:rPr>
        <w:t xml:space="preserve">4). В рамках муниципальной программы «Профилактика терроризма в муниципальном образовании Октябрьский район», утвержденной постановлением администрации Октябрьского района от 06.12.2024 №1906 на основании соглашения от 04.03.2025 за счет средств бюджета района предоставлены ИМБТ в сумме 95,0 тыс. руб. на обеспечение функционирования аппаратно- программного комплекса «Безопасный город». Решением о бюджете, бюджетной росписью поселения расходы на реализацию мероприятия в сумме 95,0 тыс. руб. утверждены по КБК 0314 0100289211 244 221. </w:t>
      </w:r>
    </w:p>
    <w:p>
      <w:pPr>
        <w:pStyle w:val="Normal"/>
        <w:ind w:firstLine="708"/>
        <w:jc w:val="both"/>
        <w:rPr>
          <w:bCs/>
        </w:rPr>
      </w:pPr>
      <w:r>
        <w:rPr>
          <w:bCs/>
        </w:rPr>
        <w:t xml:space="preserve">Исполнение составило 100,0%. </w:t>
      </w:r>
    </w:p>
    <w:p>
      <w:pPr>
        <w:pStyle w:val="Normal"/>
        <w:ind w:firstLine="708"/>
        <w:jc w:val="both"/>
        <w:rPr>
          <w:bCs/>
        </w:rPr>
      </w:pPr>
      <w:r>
        <w:rPr>
          <w:bCs/>
        </w:rPr>
        <w:t>Администраций поселения заключен муниципальный контракт с ПАО «Ростелеком» на оказание услуг связи с суммой ежемесячного платежа 8,7 тыс. руб.</w:t>
      </w:r>
    </w:p>
    <w:p>
      <w:pPr>
        <w:pStyle w:val="Normal"/>
        <w:ind w:firstLine="708"/>
        <w:jc w:val="both"/>
        <w:rPr>
          <w:bCs/>
        </w:rPr>
      </w:pPr>
      <w:r>
        <w:rPr>
          <w:bCs/>
        </w:rPr>
        <w:t>По данным журнала №4 к бухгалтерскому учету приняты расходы за период с января по ноябрь 2025 года на сумму 95,8 тыс. руб., при этом, расходы на сумму 95,0 тыс. руб. отражены по счету 03140100289211244.1.401.20.221, часть расходов за ноябрь в сумме 0,8 тыс. руб. – отражены по счету 01134010099990244.1.401.20.221, то есть аналогичные расходы отражены по разным подразделам классификации расходов бюджета. Данное нарушение имеет систематический характер.</w:t>
      </w:r>
    </w:p>
    <w:p>
      <w:pPr>
        <w:pStyle w:val="Normal"/>
        <w:ind w:firstLine="708"/>
        <w:jc w:val="both"/>
        <w:rPr>
          <w:b/>
          <w:bCs/>
        </w:rPr>
      </w:pPr>
      <w:r>
        <w:rPr>
          <w:b/>
          <w:bCs/>
        </w:rPr>
        <w:t>Нарушение порядка применения классификации расходов бюджета, бухгалтерского учета составило 0,8 тыс. руб.</w:t>
      </w:r>
    </w:p>
    <w:p>
      <w:pPr>
        <w:pStyle w:val="Normal"/>
        <w:ind w:firstLine="708"/>
        <w:jc w:val="both"/>
        <w:rPr>
          <w:bCs/>
        </w:rPr>
      </w:pPr>
      <w:r>
        <w:rPr>
          <w:bCs/>
        </w:rPr>
      </w:r>
    </w:p>
    <w:p>
      <w:pPr>
        <w:pStyle w:val="Normal"/>
        <w:ind w:firstLine="708"/>
        <w:jc w:val="both"/>
        <w:rPr>
          <w:bCs/>
        </w:rPr>
      </w:pPr>
      <w:r>
        <w:rPr>
          <w:bCs/>
        </w:rPr>
        <w:t xml:space="preserve">5). В рамках муниципальной программы «Управление муниципальной собственностью в муниципальном образовании Октябрьский район», утвержденной постановлением администрации Октябрьского района от 06.12.2024 №1905 на основании соглашения от 28.12.2024 №4 в ред. от 29.12.2025 за счет средств бюджета района поселению предоставлены ИМБТ в сумме 373,0 тыс. руб. на формирование земельных участков для последующего их предоставления в собственность, передачи в аренду, в бессрочное пользование, в том числе на межевание, постановку на кадастровый учет, определение рыночной стоимости земельных участков и права аренды. Показатель результативности предоставления ИМБТ – количество сформированных земельных участков – 15 ед. </w:t>
      </w:r>
    </w:p>
    <w:p>
      <w:pPr>
        <w:pStyle w:val="Normal"/>
        <w:ind w:firstLine="708"/>
        <w:jc w:val="both"/>
        <w:rPr>
          <w:bCs/>
        </w:rPr>
      </w:pPr>
      <w:r>
        <w:rPr>
          <w:bCs/>
        </w:rPr>
        <w:t>Решением о бюджете, бюджетной росписью поселения расходы на реализацию мероприятия утверждены по КБК 0412 4030089182 244 226 в сумме 373,0 тыс. руб.</w:t>
      </w:r>
    </w:p>
    <w:p>
      <w:pPr>
        <w:pStyle w:val="Normal"/>
        <w:ind w:firstLine="708"/>
        <w:jc w:val="both"/>
        <w:rPr>
          <w:bCs/>
        </w:rPr>
      </w:pPr>
      <w:r>
        <w:rPr>
          <w:bCs/>
        </w:rPr>
        <w:t>Исполнение составило 100,0%.</w:t>
      </w:r>
    </w:p>
    <w:p>
      <w:pPr>
        <w:pStyle w:val="Normal"/>
        <w:ind w:firstLine="708"/>
        <w:jc w:val="both"/>
        <w:rPr>
          <w:bCs/>
        </w:rPr>
      </w:pPr>
      <w:r>
        <w:rPr>
          <w:bCs/>
        </w:rPr>
        <w:t xml:space="preserve">Администрацией поселения заключено 7 муниципальных контрактов с ИП Мещангин А.А. на выполнение комплекса кадастровых работ (подготовка схемы расположения земельного участка на кадастровом плане территории и межевого плана земельного участка) на 14 земельных участков. </w:t>
      </w:r>
    </w:p>
    <w:p>
      <w:pPr>
        <w:pStyle w:val="Normal"/>
        <w:ind w:firstLine="708"/>
        <w:jc w:val="both"/>
        <w:rPr>
          <w:b/>
          <w:bCs/>
        </w:rPr>
      </w:pPr>
      <w:r>
        <w:rPr>
          <w:b/>
          <w:bCs/>
        </w:rPr>
        <w:t>Плановое значение показателя результативности, установленное соглашением, не достигнуто.</w:t>
      </w:r>
    </w:p>
    <w:p>
      <w:pPr>
        <w:pStyle w:val="Normal"/>
        <w:ind w:firstLine="708"/>
        <w:jc w:val="both"/>
        <w:rPr>
          <w:bCs/>
        </w:rPr>
      </w:pPr>
      <w:r>
        <w:rPr>
          <w:bCs/>
        </w:rPr>
      </w:r>
    </w:p>
    <w:p>
      <w:pPr>
        <w:pStyle w:val="Normal"/>
        <w:ind w:firstLine="708"/>
        <w:jc w:val="both"/>
        <w:rPr>
          <w:bCs/>
        </w:rPr>
      </w:pPr>
      <w:r>
        <w:rPr>
          <w:bCs/>
        </w:rPr>
        <w:t xml:space="preserve">6). В рамках муниципальной программы «Развитие жилищно – коммунального хозяйства в муниципальном образовании Октябрьский район», утвержденной постановлением администрации Октябрьского района от 06.12.2024 №1914, на основании соглашения от 10.12.2024 №2/24 поселению переданы ИМБТ за счет средств бюджета района в сумме 845,0 тыс. руб. на капитальный ремонт и ремонт жилого фонда, плановое значение показателя результативности предоставления средств – количество отремонтированного жилого фонда соглашением не установлено. </w:t>
      </w:r>
    </w:p>
    <w:p>
      <w:pPr>
        <w:pStyle w:val="Normal"/>
        <w:tabs>
          <w:tab w:val="clear" w:pos="708"/>
          <w:tab w:val="left" w:pos="1114" w:leader="none"/>
        </w:tabs>
        <w:ind w:firstLine="708"/>
        <w:jc w:val="both"/>
        <w:rPr>
          <w:bCs/>
        </w:rPr>
      </w:pPr>
      <w:r>
        <w:rPr>
          <w:bCs/>
        </w:rPr>
        <w:t>Решением о бюджете, бюджетной росписью поселения расходы в сумме 845,0 тыс. руб. утверждены по КБК 0501 4060089102 244 225.</w:t>
      </w:r>
    </w:p>
    <w:p>
      <w:pPr>
        <w:pStyle w:val="Normal"/>
        <w:ind w:firstLine="708"/>
        <w:jc w:val="both"/>
        <w:rPr>
          <w:bCs/>
        </w:rPr>
      </w:pPr>
      <w:r>
        <w:rPr>
          <w:bCs/>
        </w:rPr>
        <w:t>Исполнение составило 100,0%.</w:t>
      </w:r>
    </w:p>
    <w:p>
      <w:pPr>
        <w:pStyle w:val="Normal"/>
        <w:ind w:firstLine="708"/>
        <w:jc w:val="both"/>
        <w:rPr>
          <w:bCs/>
        </w:rPr>
      </w:pPr>
      <w:r>
        <w:rPr>
          <w:bCs/>
        </w:rPr>
        <w:t>Администрацией поселения заключены:</w:t>
      </w:r>
    </w:p>
    <w:p>
      <w:pPr>
        <w:pStyle w:val="Normal"/>
        <w:ind w:firstLine="708"/>
        <w:jc w:val="both"/>
        <w:rPr>
          <w:bCs/>
        </w:rPr>
      </w:pPr>
      <w:r>
        <w:rPr>
          <w:bCs/>
        </w:rPr>
        <w:t>- договор №51 от 30.04.2025 на выполнение работ по ремонту мест общего пользования жилого фонда по адресу мкр. Центральный, д. 44, подъезд 2, этаж 1 на сумму 11,5 тыс. руб. (замена пластиковых панелей в туалете);</w:t>
      </w:r>
    </w:p>
    <w:p>
      <w:pPr>
        <w:pStyle w:val="Normal"/>
        <w:ind w:firstLine="708"/>
        <w:jc w:val="both"/>
        <w:rPr>
          <w:bCs/>
        </w:rPr>
      </w:pPr>
      <w:r>
        <w:rPr>
          <w:bCs/>
        </w:rPr>
        <w:t>- муниципальный контракт №018730001542500001 от 10.02.2025 на выполнение работ по ремонту мест общего пользования жилого фонда по адресу мкр. Центральный, д. 10, подъезд 2, этаж 1 на сумму 549,9 тыс. руб. (далее – МК №1);</w:t>
      </w:r>
    </w:p>
    <w:p>
      <w:pPr>
        <w:pStyle w:val="Normal"/>
        <w:ind w:firstLine="708"/>
        <w:jc w:val="both"/>
        <w:rPr>
          <w:bCs/>
        </w:rPr>
      </w:pPr>
      <w:r>
        <w:rPr>
          <w:bCs/>
        </w:rPr>
        <w:t>- муниципальный контракт №0187300015425000023 от 10.02.2025 на выполнение работ по ремонту мест общего пользования жилого фонда по адресу мкр. Центральный, д. 44, подъезд 2, этаж 1 на сумму 283,6 тыс. руб. (далее – МК №23).</w:t>
      </w:r>
    </w:p>
    <w:p>
      <w:pPr>
        <w:pStyle w:val="Normal"/>
        <w:ind w:firstLine="708"/>
        <w:jc w:val="both"/>
        <w:rPr>
          <w:bCs/>
        </w:rPr>
      </w:pPr>
      <w:r>
        <w:rPr>
          <w:bCs/>
        </w:rPr>
        <w:t>Предмет муниципального контракта должен соответствовать видам выполняемых работ. При классификации проводимых ремонтных работ и отнесении их к капитальному либо к текущему ремонту работникам администрации поселения, занимающимся вопросами управления муниципальным имуществом, жилищными вопросами, необходимо руководствоваться действующим законодательством в рассматриваемой сфере, например:</w:t>
      </w:r>
    </w:p>
    <w:p>
      <w:pPr>
        <w:pStyle w:val="Normal"/>
        <w:ind w:firstLine="708"/>
        <w:jc w:val="both"/>
        <w:rPr>
          <w:bCs/>
        </w:rPr>
      </w:pPr>
      <w:r>
        <w:rPr>
          <w:bCs/>
        </w:rPr>
        <w:t>- Градостроительным кодексом РФ;</w:t>
      </w:r>
    </w:p>
    <w:p>
      <w:pPr>
        <w:pStyle w:val="Normal"/>
        <w:ind w:firstLine="708"/>
        <w:jc w:val="both"/>
        <w:rPr>
          <w:bCs/>
        </w:rPr>
      </w:pPr>
      <w:r>
        <w:rPr>
          <w:bCs/>
        </w:rPr>
        <w:t>- Методическим пособием по содержанию и ремонту жилищного фонда (МДК 2-04.2004, утв. Госстроем России);</w:t>
      </w:r>
    </w:p>
    <w:p>
      <w:pPr>
        <w:pStyle w:val="Normal"/>
        <w:ind w:firstLine="708"/>
        <w:jc w:val="both"/>
        <w:rPr>
          <w:bCs/>
        </w:rPr>
      </w:pPr>
      <w:r>
        <w:rPr>
          <w:bCs/>
        </w:rPr>
        <w:t>- Постановлением Правительства РФ от 05.12.2014 № 1318 «О регулировании отношений по найму жилых помещений жилищного фонда социального использования»;</w:t>
      </w:r>
    </w:p>
    <w:p>
      <w:pPr>
        <w:pStyle w:val="Normal"/>
        <w:ind w:firstLine="708"/>
        <w:jc w:val="both"/>
        <w:rPr>
          <w:bCs/>
        </w:rPr>
      </w:pPr>
      <w:r>
        <w:rPr>
          <w:bCs/>
        </w:rPr>
        <w:t>- Постановлением Госстроя РФ от 27.09.2003 № 170 «Об утверждении Правил и норм технической эксплуатации жилищного фонда» (далее – Постановление №170).</w:t>
      </w:r>
    </w:p>
    <w:p>
      <w:pPr>
        <w:pStyle w:val="Normal"/>
        <w:ind w:firstLine="708"/>
        <w:jc w:val="both"/>
        <w:rPr>
          <w:bCs/>
        </w:rPr>
      </w:pPr>
      <w:r>
        <w:rPr>
          <w:bCs/>
        </w:rPr>
        <w:t>По данным технического задания в рамках МК №1 выполнены работы по ремонту душевой комнаты и мойки, в том числе:</w:t>
      </w:r>
    </w:p>
    <w:p>
      <w:pPr>
        <w:pStyle w:val="Normal"/>
        <w:ind w:firstLine="708"/>
        <w:jc w:val="both"/>
        <w:rPr>
          <w:bCs/>
        </w:rPr>
      </w:pPr>
      <w:r>
        <w:rPr>
          <w:bCs/>
        </w:rPr>
        <w:t>- замена внутренних трубопроводов из стальных труб на полимерные, замена радиатора, душевых поддонов, смесителей, мойки;</w:t>
      </w:r>
    </w:p>
    <w:p>
      <w:pPr>
        <w:pStyle w:val="Normal"/>
        <w:ind w:firstLine="708"/>
        <w:jc w:val="both"/>
        <w:rPr>
          <w:bCs/>
        </w:rPr>
      </w:pPr>
      <w:r>
        <w:rPr>
          <w:bCs/>
        </w:rPr>
        <w:t>- замена двери, устройство душевых кабин с установкой элементов каркаса из брусьев и облицовкой пластиковыми панелями;</w:t>
      </w:r>
    </w:p>
    <w:p>
      <w:pPr>
        <w:pStyle w:val="Normal"/>
        <w:ind w:firstLine="708"/>
        <w:jc w:val="both"/>
        <w:rPr>
          <w:bCs/>
        </w:rPr>
      </w:pPr>
      <w:r>
        <w:rPr>
          <w:bCs/>
        </w:rPr>
        <w:t>- ремонт пола с устройством гидро-, паро-, теплоизоляции;</w:t>
      </w:r>
    </w:p>
    <w:p>
      <w:pPr>
        <w:pStyle w:val="Normal"/>
        <w:ind w:firstLine="708"/>
        <w:jc w:val="both"/>
        <w:rPr>
          <w:bCs/>
        </w:rPr>
      </w:pPr>
      <w:r>
        <w:rPr>
          <w:bCs/>
        </w:rPr>
        <w:t>- замена электропроводки и светильников.</w:t>
      </w:r>
    </w:p>
    <w:p>
      <w:pPr>
        <w:pStyle w:val="Normal"/>
        <w:ind w:firstLine="708"/>
        <w:jc w:val="both"/>
        <w:rPr>
          <w:bCs/>
        </w:rPr>
      </w:pPr>
      <w:r>
        <w:rPr>
          <w:bCs/>
        </w:rPr>
        <w:t>По данным технического задания в рамках МК №23 выполнены работы по ремонту душевой комнаты, в том числе:</w:t>
      </w:r>
    </w:p>
    <w:p>
      <w:pPr>
        <w:pStyle w:val="Normal"/>
        <w:ind w:firstLine="708"/>
        <w:jc w:val="both"/>
        <w:rPr>
          <w:bCs/>
        </w:rPr>
      </w:pPr>
      <w:r>
        <w:rPr>
          <w:bCs/>
        </w:rPr>
        <w:t>- замена внутренних трубопроводов из стальных труб на полимерные, замена радиатора, душевых поддонов, смесителей, раковин;</w:t>
      </w:r>
    </w:p>
    <w:p>
      <w:pPr>
        <w:pStyle w:val="Normal"/>
        <w:ind w:firstLine="708"/>
        <w:jc w:val="both"/>
        <w:rPr>
          <w:bCs/>
        </w:rPr>
      </w:pPr>
      <w:r>
        <w:rPr>
          <w:bCs/>
        </w:rPr>
        <w:t>- замена двери, устройство душевой кабины с установкой элементов каркаса из брусьев и облицовкой пластиковыми панелями;</w:t>
      </w:r>
    </w:p>
    <w:p>
      <w:pPr>
        <w:pStyle w:val="Normal"/>
        <w:ind w:firstLine="708"/>
        <w:jc w:val="both"/>
        <w:rPr>
          <w:bCs/>
        </w:rPr>
      </w:pPr>
      <w:r>
        <w:rPr>
          <w:bCs/>
        </w:rPr>
        <w:t>- ремонт пола с устройством паро-, теплоизоляции;</w:t>
      </w:r>
    </w:p>
    <w:p>
      <w:pPr>
        <w:pStyle w:val="Normal"/>
        <w:ind w:firstLine="708"/>
        <w:jc w:val="both"/>
        <w:rPr>
          <w:bCs/>
        </w:rPr>
      </w:pPr>
      <w:r>
        <w:rPr>
          <w:bCs/>
        </w:rPr>
        <w:t>- замена электропроводки и светильников.</w:t>
      </w:r>
    </w:p>
    <w:p>
      <w:pPr>
        <w:pStyle w:val="Normal"/>
        <w:ind w:firstLine="708"/>
        <w:jc w:val="both"/>
        <w:rPr>
          <w:bCs/>
        </w:rPr>
      </w:pPr>
      <w:r>
        <w:rPr>
          <w:bCs/>
        </w:rPr>
        <w:t xml:space="preserve">Согласно положениям п. 2, п. 3 приложения №8 к Постановлению №170 ремонтно-строительные работы по смене, восстановлению или замене элементов жилых зданий, замена  существующих систем центрального отопления, горячего и холодного водоснабжения (в т.ч. с обязательным применением модернизированных отопительных приборов и трубопроводов из пластика, металлопластика и т.д. и запретом на установку стальных труб); перевод существующей сети электроснабжения на повышенное напряжение входят в перечень работ, производимых при капитальном ремонте жилищного фонда. </w:t>
      </w:r>
    </w:p>
    <w:p>
      <w:pPr>
        <w:pStyle w:val="Normal"/>
        <w:ind w:firstLine="708"/>
        <w:jc w:val="both"/>
        <w:rPr>
          <w:bCs/>
        </w:rPr>
      </w:pPr>
      <w:r>
        <w:rPr>
          <w:bCs/>
        </w:rPr>
        <w:t>В соответствии с п. 53.2.4.3 Приказа Минфина России от 24.05.2022 № 82н «О Порядке формирования и применения кодов бюджетной классификации Российской Федерации, их структуре и принципах назначения» (далее – Приказ №82н) расходы бюджетов бюджетной системы Российской Федерации на закупку товаров, работ, услуг для обеспечения государственных (муниципальных) нужд, а также расходы государственных (муниципальных) бюджетных и автономных учреждений по капитальному ремонту, а также реставрации государственного (муниципального) имущества, за исключением расходов на осуществление бюджетных инвестиций в объекты капитального строительства государственной (муниципальной) собственности подлежат отражению по элементу вида расходов «243 Закупка товаров, работ, услуг в целях капитального ремонта государственного (муниципального) имущества».</w:t>
      </w:r>
    </w:p>
    <w:p>
      <w:pPr>
        <w:pStyle w:val="Normal"/>
        <w:ind w:firstLine="708"/>
        <w:jc w:val="both"/>
        <w:rPr>
          <w:bCs/>
        </w:rPr>
      </w:pPr>
      <w:r>
        <w:rPr>
          <w:bCs/>
        </w:rPr>
        <w:t>В нарушение Приказа №82н расходы бюджета на оплату МК №1, МК №23 отражены по ВР 244 (прочая закупка товаров, работ, услуг).</w:t>
      </w:r>
    </w:p>
    <w:p>
      <w:pPr>
        <w:pStyle w:val="Normal"/>
        <w:ind w:firstLine="708"/>
        <w:jc w:val="both"/>
        <w:rPr>
          <w:b/>
          <w:bCs/>
        </w:rPr>
      </w:pPr>
      <w:r>
        <w:rPr>
          <w:b/>
          <w:bCs/>
        </w:rPr>
        <w:t>Нарушение порядка применения кодов бюджетной классификации расходов бюджета, бухгалтерского учета составило 833,5 тыс. руб.</w:t>
      </w:r>
    </w:p>
    <w:p>
      <w:pPr>
        <w:pStyle w:val="Normal"/>
        <w:ind w:firstLine="708"/>
        <w:jc w:val="both"/>
        <w:rPr>
          <w:bCs/>
        </w:rPr>
      </w:pPr>
      <w:r>
        <w:rPr>
          <w:bCs/>
        </w:rPr>
      </w:r>
    </w:p>
    <w:p>
      <w:pPr>
        <w:pStyle w:val="Normal"/>
        <w:ind w:firstLine="708"/>
        <w:jc w:val="both"/>
        <w:rPr>
          <w:bCs/>
        </w:rPr>
      </w:pPr>
      <w:r>
        <w:rPr>
          <w:bCs/>
        </w:rPr>
        <w:t>7). В рамках муниципальной программы «Развитие жилищно – коммунального хозяйства в муниципальном образовании Октябрьский район», утвержденной постановлением администрации Октябрьского района от 06.12.2024 №1914, на основании Соглашения от 19.05.2025 №36/25 в ред. от 23.12.2025 №2 поселению переданы ИМБТ за счет средств бюджета района в сумме 3 128,1 тыс. руб., в том числе на:</w:t>
      </w:r>
    </w:p>
    <w:p>
      <w:pPr>
        <w:pStyle w:val="Normal"/>
        <w:ind w:firstLine="708"/>
        <w:jc w:val="both"/>
        <w:rPr>
          <w:bCs/>
        </w:rPr>
      </w:pPr>
      <w:r>
        <w:rPr>
          <w:bCs/>
        </w:rPr>
        <w:t>- обследование и оценку технического состояния 8 многоквартирных домов с целью выявления оснований для признания их аварийными и подлежащими сносу: мкр. №1: д.21, д. 21а, д.42; Мкр. Центральный: д.15, д.16, д.40, д.41, д.56 – 172,9 тыс. руб.;</w:t>
      </w:r>
    </w:p>
    <w:p>
      <w:pPr>
        <w:pStyle w:val="Normal"/>
        <w:ind w:firstLine="708"/>
        <w:jc w:val="both"/>
        <w:rPr>
          <w:bCs/>
        </w:rPr>
      </w:pPr>
      <w:r>
        <w:rPr>
          <w:bCs/>
        </w:rPr>
        <w:t>- снос аварийного жилого дома по адресу мкр. №1 д.4 – 2 995,2 тыс. руб.</w:t>
      </w:r>
    </w:p>
    <w:p>
      <w:pPr>
        <w:pStyle w:val="Normal"/>
        <w:tabs>
          <w:tab w:val="clear" w:pos="708"/>
          <w:tab w:val="left" w:pos="1114" w:leader="none"/>
        </w:tabs>
        <w:ind w:firstLine="708"/>
        <w:jc w:val="both"/>
        <w:rPr>
          <w:bCs/>
        </w:rPr>
      </w:pPr>
      <w:r>
        <w:rPr>
          <w:bCs/>
        </w:rPr>
        <w:t>Решением о бюджете, бюджетной росписью поселения расходы в сумме 3 128,1 тыс. руб. утверждены по КБК:</w:t>
      </w:r>
    </w:p>
    <w:p>
      <w:pPr>
        <w:pStyle w:val="Normal"/>
        <w:tabs>
          <w:tab w:val="clear" w:pos="708"/>
          <w:tab w:val="left" w:pos="1114" w:leader="none"/>
        </w:tabs>
        <w:ind w:firstLine="708"/>
        <w:jc w:val="both"/>
        <w:rPr>
          <w:bCs/>
        </w:rPr>
      </w:pPr>
      <w:r>
        <w:rPr>
          <w:bCs/>
        </w:rPr>
        <w:t xml:space="preserve">- 0501 4060089107 244 226 – 172,9 тыс. руб.; </w:t>
      </w:r>
    </w:p>
    <w:p>
      <w:pPr>
        <w:pStyle w:val="Normal"/>
        <w:tabs>
          <w:tab w:val="clear" w:pos="708"/>
          <w:tab w:val="left" w:pos="1114" w:leader="none"/>
        </w:tabs>
        <w:ind w:firstLine="708"/>
        <w:jc w:val="both"/>
        <w:rPr>
          <w:bCs/>
        </w:rPr>
      </w:pPr>
      <w:r>
        <w:rPr>
          <w:bCs/>
        </w:rPr>
        <w:t xml:space="preserve">- 0501 4060089108 244 226 – 2 995,2 тыс. руб. </w:t>
      </w:r>
    </w:p>
    <w:p>
      <w:pPr>
        <w:pStyle w:val="Normal"/>
        <w:ind w:firstLine="708"/>
        <w:jc w:val="both"/>
        <w:rPr>
          <w:bCs/>
        </w:rPr>
      </w:pPr>
      <w:r>
        <w:rPr>
          <w:bCs/>
        </w:rPr>
        <w:t>Исполнение составило 100,0%, заключены муниципальные контракты на снос и оценку технического состояния 8 многоквартирных домов, адресный список домов, подлежащих сносу и обследованию соответствует соглашению.</w:t>
      </w:r>
    </w:p>
    <w:p>
      <w:pPr>
        <w:pStyle w:val="Normal"/>
        <w:tabs>
          <w:tab w:val="clear" w:pos="708"/>
          <w:tab w:val="left" w:pos="1114" w:leader="none"/>
        </w:tabs>
        <w:ind w:firstLine="708"/>
        <w:jc w:val="both"/>
        <w:rPr>
          <w:bCs/>
          <w:highlight w:val="green"/>
        </w:rPr>
      </w:pPr>
      <w:r>
        <w:rPr>
          <w:bCs/>
          <w:highlight w:val="green"/>
        </w:rPr>
      </w:r>
    </w:p>
    <w:p>
      <w:pPr>
        <w:pStyle w:val="Normal"/>
        <w:tabs>
          <w:tab w:val="clear" w:pos="708"/>
          <w:tab w:val="left" w:pos="1114" w:leader="none"/>
        </w:tabs>
        <w:ind w:firstLine="708"/>
        <w:jc w:val="both"/>
        <w:rPr>
          <w:bCs/>
        </w:rPr>
      </w:pPr>
      <w:r>
        <w:rPr>
          <w:bCs/>
        </w:rPr>
        <w:t>7.1). Постановлением администрации поселения от 27.02.2025 №48 утверждено: осуществить снос аварийного жилого дома по адресу 1 мкр, д. 4, снять с государственного кадастрового учета, исключить из реестра муниципальной собственности и муниципальной казны.</w:t>
      </w:r>
    </w:p>
    <w:p>
      <w:pPr>
        <w:pStyle w:val="Normal"/>
        <w:tabs>
          <w:tab w:val="clear" w:pos="708"/>
          <w:tab w:val="left" w:pos="1114" w:leader="none"/>
        </w:tabs>
        <w:ind w:firstLine="708"/>
        <w:jc w:val="both"/>
        <w:rPr>
          <w:bCs/>
        </w:rPr>
      </w:pPr>
      <w:r>
        <w:rPr>
          <w:bCs/>
        </w:rPr>
        <w:t>Администрацией поселения заключен муниципальный контракт №0187300015425000022 с ИП Шаманаев В.П. на снос аварийного жилого дома по адресу 1 мкр, д. 4 на сумму 2 995,2 тыс. руб. По данным акта о приемке выполненных работ, экспертного заключения дата фактического выполнения работ – 25.09.2025.</w:t>
      </w:r>
    </w:p>
    <w:p>
      <w:pPr>
        <w:pStyle w:val="Normal"/>
        <w:tabs>
          <w:tab w:val="clear" w:pos="708"/>
          <w:tab w:val="left" w:pos="1114" w:leader="none"/>
        </w:tabs>
        <w:ind w:firstLine="708"/>
        <w:jc w:val="both"/>
        <w:rPr>
          <w:bCs/>
        </w:rPr>
      </w:pPr>
      <w:r>
        <w:rPr>
          <w:bCs/>
        </w:rPr>
        <w:t>По данным оборотно-сальдовой ведомости по счету 010851000 в составе объектов имущества казны на конец года числится объект: 1 мкр-он ж/д № 4, 18кв., тип "КДМ" стоимостью 3 259,9 тыс. руб.</w:t>
      </w:r>
    </w:p>
    <w:p>
      <w:pPr>
        <w:pStyle w:val="Normal"/>
        <w:tabs>
          <w:tab w:val="clear" w:pos="708"/>
          <w:tab w:val="left" w:pos="1114" w:leader="none"/>
        </w:tabs>
        <w:ind w:firstLine="708"/>
        <w:jc w:val="both"/>
        <w:rPr>
          <w:b/>
          <w:bCs/>
        </w:rPr>
      </w:pPr>
      <w:r>
        <w:rPr>
          <w:b/>
          <w:bCs/>
        </w:rPr>
        <w:t>Допущено нарушение порядка управления муниципальным имуществом, бухгалтерского учета на сумму 3 259,9 тыс. руб.</w:t>
      </w:r>
    </w:p>
    <w:p>
      <w:pPr>
        <w:pStyle w:val="Normal"/>
        <w:tabs>
          <w:tab w:val="clear" w:pos="708"/>
          <w:tab w:val="left" w:pos="1114" w:leader="none"/>
        </w:tabs>
        <w:ind w:firstLine="708"/>
        <w:jc w:val="both"/>
        <w:rPr>
          <w:bCs/>
          <w:highlight w:val="green"/>
        </w:rPr>
      </w:pPr>
      <w:r>
        <w:rPr>
          <w:bCs/>
          <w:highlight w:val="green"/>
        </w:rPr>
      </w:r>
    </w:p>
    <w:p>
      <w:pPr>
        <w:pStyle w:val="Normal"/>
        <w:tabs>
          <w:tab w:val="clear" w:pos="708"/>
          <w:tab w:val="left" w:pos="1114" w:leader="none"/>
        </w:tabs>
        <w:ind w:firstLine="708"/>
        <w:jc w:val="both"/>
        <w:rPr>
          <w:bCs/>
        </w:rPr>
      </w:pPr>
      <w:r>
        <w:rPr>
          <w:bCs/>
        </w:rPr>
        <w:t>7.2) В соответствии с п. 10.2.5. приказа Минфина России от 29.11.2017 № 209н «Об утверждении Порядка применения классификации операций сектора государственного управления» (далее – Приказ № 209н) расходы на обследование технического состояния (аттестация) объектов нефинансовых активов, осуществляемое в целях получения информации о необходимости проведения и объемах ремонта, определения возможности дальнейшей эксплуатации, ресурса работоспособности подлежат отражению по подстатье КОСГУ 225 «Работы, услуги по содержанию имущества».</w:t>
      </w:r>
    </w:p>
    <w:p>
      <w:pPr>
        <w:pStyle w:val="Normal"/>
        <w:tabs>
          <w:tab w:val="clear" w:pos="708"/>
          <w:tab w:val="left" w:pos="1114" w:leader="none"/>
        </w:tabs>
        <w:ind w:firstLine="708"/>
        <w:jc w:val="both"/>
        <w:rPr>
          <w:bCs/>
        </w:rPr>
      </w:pPr>
      <w:r>
        <w:rPr>
          <w:bCs/>
        </w:rPr>
        <w:t>В нарушение Приказа №209н расходы по муниципальному контракту №0187300015425000031 от 24.11.2025 с ООО «ПК «Интеграл» на оказание услуг по оценке технического состояния многоквартирных домов на сумму 172,9 тыс. руб. отражены по счету 05014060089107244.1.401.20.226, то есть по подстатье КОСГУ 226, как прочие работы, услуги.</w:t>
      </w:r>
    </w:p>
    <w:p>
      <w:pPr>
        <w:pStyle w:val="Normal"/>
        <w:tabs>
          <w:tab w:val="clear" w:pos="708"/>
          <w:tab w:val="left" w:pos="1114" w:leader="none"/>
        </w:tabs>
        <w:ind w:firstLine="708"/>
        <w:jc w:val="both"/>
        <w:rPr>
          <w:b/>
          <w:bCs/>
        </w:rPr>
      </w:pPr>
      <w:r>
        <w:rPr>
          <w:b/>
          <w:bCs/>
        </w:rPr>
        <w:t>Нарушение порядка классификации операций сектора государственного управления бухгалтерского учета составило 172,9 тыс. руб.</w:t>
      </w:r>
    </w:p>
    <w:p>
      <w:pPr>
        <w:pStyle w:val="Normal"/>
        <w:ind w:firstLine="708"/>
        <w:jc w:val="both"/>
        <w:rPr>
          <w:bCs/>
        </w:rPr>
      </w:pPr>
      <w:r>
        <w:rPr>
          <w:bCs/>
        </w:rPr>
      </w:r>
    </w:p>
    <w:p>
      <w:pPr>
        <w:pStyle w:val="Normal"/>
        <w:ind w:firstLine="708"/>
        <w:jc w:val="both"/>
        <w:rPr>
          <w:bCs/>
        </w:rPr>
      </w:pPr>
      <w:r>
        <w:rPr>
          <w:bCs/>
        </w:rPr>
        <w:t xml:space="preserve">8). За счет средств бюджета округа в рамках муниципальной программы «Профилактика правонарушений и обеспечение отдельных прав граждан в муниципальном образовании Октябрьский район», утвержденной постановлением администрации Октябрьского района от 06.12.2024 №1904 на основании соглашения от 04.03.2025 поселению предоставлены ИМБТ на создание условий для деятельности народных дружин в сумме 32,0 тыс. руб. </w:t>
      </w:r>
    </w:p>
    <w:p>
      <w:pPr>
        <w:pStyle w:val="Normal"/>
        <w:ind w:firstLine="708"/>
        <w:jc w:val="both"/>
        <w:rPr>
          <w:bCs/>
        </w:rPr>
      </w:pPr>
      <w:r>
        <w:rPr>
          <w:bCs/>
        </w:rPr>
        <w:t>Решением о бюджете, сводной бюджетной росписью расходы на реализацию мероприятия утверждены по КБК:</w:t>
      </w:r>
    </w:p>
    <w:p>
      <w:pPr>
        <w:pStyle w:val="Normal"/>
        <w:ind w:firstLine="708"/>
        <w:jc w:val="both"/>
        <w:rPr>
          <w:bCs/>
        </w:rPr>
      </w:pPr>
      <w:r>
        <w:rPr>
          <w:bCs/>
        </w:rPr>
        <w:t>- 0314 0100182300 123 226 в сумме 28,9 тыс. руб.;</w:t>
      </w:r>
    </w:p>
    <w:p>
      <w:pPr>
        <w:pStyle w:val="Normal"/>
        <w:ind w:firstLine="708"/>
        <w:jc w:val="both"/>
        <w:rPr>
          <w:bCs/>
        </w:rPr>
      </w:pPr>
      <w:r>
        <w:rPr>
          <w:bCs/>
        </w:rPr>
        <w:t>- 0314 0100182300 224 227 в сумме 3,1 тыс. руб.</w:t>
      </w:r>
    </w:p>
    <w:p>
      <w:pPr>
        <w:pStyle w:val="Normal"/>
        <w:ind w:firstLine="708"/>
        <w:jc w:val="both"/>
        <w:rPr>
          <w:bCs/>
        </w:rPr>
      </w:pPr>
      <w:r>
        <w:rPr>
          <w:bCs/>
        </w:rPr>
        <w:t>Исполнение составило 100,0%, средства направлены на выплату денежного вознаграждения и страхование членов народных дружин.</w:t>
      </w:r>
    </w:p>
    <w:p>
      <w:pPr>
        <w:pStyle w:val="Normal"/>
        <w:ind w:firstLine="708"/>
        <w:jc w:val="both"/>
        <w:rPr>
          <w:bCs/>
        </w:rPr>
      </w:pPr>
      <w:r>
        <w:rPr>
          <w:bCs/>
        </w:rPr>
        <w:t>Доля софинансирования за счет средств бюджета поселения обеспечена в сумме 13,7 тыс. руб., в том числе по КБК:</w:t>
      </w:r>
    </w:p>
    <w:p>
      <w:pPr>
        <w:pStyle w:val="Normal"/>
        <w:ind w:firstLine="708"/>
        <w:jc w:val="both"/>
        <w:rPr>
          <w:bCs/>
        </w:rPr>
      </w:pPr>
      <w:r>
        <w:rPr>
          <w:bCs/>
        </w:rPr>
        <w:t>- 0314 01001</w:t>
      </w:r>
      <w:r>
        <w:rPr>
          <w:bCs/>
          <w:lang w:val="en-US"/>
        </w:rPr>
        <w:t>S</w:t>
      </w:r>
      <w:r>
        <w:rPr>
          <w:bCs/>
        </w:rPr>
        <w:t>2300 123 226 в сумме 12,4 тыс. руб.;</w:t>
      </w:r>
    </w:p>
    <w:p>
      <w:pPr>
        <w:pStyle w:val="Normal"/>
        <w:ind w:firstLine="708"/>
        <w:jc w:val="both"/>
        <w:rPr>
          <w:bCs/>
        </w:rPr>
      </w:pPr>
      <w:r>
        <w:rPr>
          <w:bCs/>
        </w:rPr>
        <w:t>- 0314 01001</w:t>
      </w:r>
      <w:r>
        <w:rPr>
          <w:bCs/>
          <w:lang w:val="en-US"/>
        </w:rPr>
        <w:t>S</w:t>
      </w:r>
      <w:r>
        <w:rPr>
          <w:bCs/>
        </w:rPr>
        <w:t>2300 224 227 в сумме 1,3 тыс. руб.</w:t>
      </w:r>
    </w:p>
    <w:p>
      <w:pPr>
        <w:pStyle w:val="Normal"/>
        <w:ind w:firstLine="708"/>
        <w:jc w:val="both"/>
        <w:rPr>
          <w:bCs/>
        </w:rPr>
      </w:pPr>
      <w:r>
        <w:rPr>
          <w:bCs/>
        </w:rPr>
        <w:t>Согласно приложению №3 к соглашению от 04.03.2025 в качестве показателя результативности предоставления субсидии установлен показатель: «уровень преступности, число зарегистрированных преступлений на 100 тыс. человек населения) ед., при этом плановое значение показателя соглашением не установлено.</w:t>
      </w:r>
    </w:p>
    <w:p>
      <w:pPr>
        <w:pStyle w:val="Normal"/>
        <w:ind w:firstLine="708"/>
        <w:jc w:val="both"/>
        <w:rPr>
          <w:bCs/>
        </w:rPr>
      </w:pPr>
      <w:r>
        <w:rPr>
          <w:bCs/>
        </w:rPr>
        <w:t xml:space="preserve">По данным постановления администрации поселения от 10.12.2024 №359 «Об утверждении муниципальной программы «Профилактика терроризма и правонарушений в сфере общественного порядка в городском поселении Талинка» в ред. от 30.12.2025 №362 плановое значение показателя результативности – 1600 ед., по данным предоставленного в ходе проверки отчета фактическое значение показателя за 2025 год – 1600ед. </w:t>
      </w:r>
    </w:p>
    <w:p>
      <w:pPr>
        <w:pStyle w:val="Normal"/>
        <w:ind w:firstLine="708"/>
        <w:jc w:val="both"/>
        <w:rPr>
          <w:bCs/>
        </w:rPr>
      </w:pPr>
      <w:r>
        <w:rPr>
          <w:bCs/>
        </w:rPr>
      </w:r>
    </w:p>
    <w:p>
      <w:pPr>
        <w:pStyle w:val="Normal"/>
        <w:ind w:firstLine="708"/>
        <w:jc w:val="both"/>
        <w:rPr>
          <w:bCs/>
        </w:rPr>
      </w:pPr>
      <w:r>
        <w:rPr>
          <w:bCs/>
        </w:rPr>
        <w:t xml:space="preserve">9). В рамках муниципальной программы «Развитие культуры и туризма в муниципальном образовании Октябрьский район», утвержденной постановлением администрации Октябрьского района от 06.12.2024 №1908 на реализацию мероприятия «Модернизация муниципальных общедоступных библиотек, в том числе подключение библиотек к сети интернет» на основании соглашения от 09.01.2025 №10 в ред. от 19.02.2025 поселению предоставлена субсидия за счет средств бюджета автономного округа в сумме 50,0 тыс. руб. </w:t>
      </w:r>
    </w:p>
    <w:p>
      <w:pPr>
        <w:pStyle w:val="Normal"/>
        <w:ind w:firstLine="708"/>
        <w:jc w:val="both"/>
        <w:rPr>
          <w:bCs/>
        </w:rPr>
      </w:pPr>
      <w:r>
        <w:rPr>
          <w:bCs/>
        </w:rPr>
        <w:t>Решением о бюджете, бюджетной росписью поселения расходы на реализацию мероприятия утверждены по КБК:</w:t>
      </w:r>
    </w:p>
    <w:p>
      <w:pPr>
        <w:pStyle w:val="Normal"/>
        <w:ind w:firstLine="708"/>
        <w:jc w:val="both"/>
        <w:rPr>
          <w:bCs/>
        </w:rPr>
      </w:pPr>
      <w:r>
        <w:rPr>
          <w:bCs/>
        </w:rPr>
        <w:t>- 0801 4070082520 611 241 в сумме 50,0 тыс. руб.</w:t>
      </w:r>
    </w:p>
    <w:p>
      <w:pPr>
        <w:pStyle w:val="Normal"/>
        <w:ind w:firstLine="708"/>
        <w:jc w:val="both"/>
        <w:rPr>
          <w:bCs/>
        </w:rPr>
      </w:pPr>
      <w:r>
        <w:rPr>
          <w:bCs/>
        </w:rPr>
        <w:t>Исполнение составило 100,0%, предоставлена субсидия подведомственному учреждению, доля софинансирования за счет средств бюджета поселения обеспечена по КБК  0801 40700S2520 611 241 в сумме 8,8 тыс. руб.</w:t>
      </w:r>
    </w:p>
    <w:p>
      <w:pPr>
        <w:pStyle w:val="Normal"/>
        <w:ind w:firstLine="708"/>
        <w:jc w:val="both"/>
        <w:rPr>
          <w:bCs/>
        </w:rPr>
      </w:pPr>
      <w:r>
        <w:rPr>
          <w:bCs/>
        </w:rPr>
      </w:r>
    </w:p>
    <w:p>
      <w:pPr>
        <w:pStyle w:val="Normal"/>
        <w:ind w:firstLine="708"/>
        <w:jc w:val="both"/>
        <w:rPr>
          <w:bCs/>
        </w:rPr>
      </w:pPr>
      <w:r>
        <w:rPr>
          <w:bCs/>
        </w:rPr>
        <w:t>10). В рамках муниципальной программы «Развитие гражданского общества в муниципальном образовании Октябрьский район», утвержденной постановлением администрации Октябрьского района от 06.12.2024 №1899, поселению предоставлена субсидия за счет средств бюджета округа в сумме 1 050,0 тыс. руб.</w:t>
      </w:r>
    </w:p>
    <w:p>
      <w:pPr>
        <w:pStyle w:val="Normal"/>
        <w:ind w:firstLine="708"/>
        <w:jc w:val="both"/>
        <w:rPr>
          <w:bCs/>
        </w:rPr>
      </w:pPr>
      <w:r>
        <w:rPr>
          <w:bCs/>
        </w:rPr>
        <w:t>Между администрацией Октябрьского района и администрацией поселения заключено соглашение 16.06.2025, согласно которому средства предоставляются на реализацию инициативного проекта «Обустройство площадки для выгула и дрессировки собак в гп. Талинка». Общий объем средств на реализацию проекта составляет 1 804,3 тыс. руб., в том числе:</w:t>
      </w:r>
    </w:p>
    <w:p>
      <w:pPr>
        <w:pStyle w:val="Normal"/>
        <w:ind w:firstLine="708"/>
        <w:jc w:val="both"/>
        <w:rPr>
          <w:bCs/>
        </w:rPr>
      </w:pPr>
      <w:r>
        <w:rPr>
          <w:bCs/>
        </w:rPr>
        <w:t>- 1 050,0 тыс. руб. средства бюджета округа;</w:t>
      </w:r>
    </w:p>
    <w:p>
      <w:pPr>
        <w:pStyle w:val="Normal"/>
        <w:ind w:firstLine="708"/>
        <w:jc w:val="both"/>
        <w:rPr>
          <w:bCs/>
        </w:rPr>
      </w:pPr>
      <w:r>
        <w:rPr>
          <w:bCs/>
        </w:rPr>
        <w:t>- 384,7 тыс. руб. средства бюджета поселения;</w:t>
      </w:r>
    </w:p>
    <w:p>
      <w:pPr>
        <w:pStyle w:val="Normal"/>
        <w:ind w:firstLine="708"/>
        <w:jc w:val="both"/>
        <w:rPr>
          <w:bCs/>
        </w:rPr>
      </w:pPr>
      <w:r>
        <w:rPr>
          <w:bCs/>
        </w:rPr>
        <w:t>- 90,0 тыс. руб. средства физических лиц, ИП, юридических лиц в составе средств бюджета поселения;</w:t>
      </w:r>
    </w:p>
    <w:p>
      <w:pPr>
        <w:pStyle w:val="Normal"/>
        <w:ind w:firstLine="708"/>
        <w:jc w:val="both"/>
        <w:rPr>
          <w:bCs/>
        </w:rPr>
      </w:pPr>
      <w:r>
        <w:rPr>
          <w:bCs/>
        </w:rPr>
        <w:t xml:space="preserve">- 279,6 тыс. руб. обеспечение вклада физических лиц, ИП, юридических лиц в не денежной форме (непосредственное выполнение работ и услуг). </w:t>
      </w:r>
    </w:p>
    <w:p>
      <w:pPr>
        <w:pStyle w:val="Normal"/>
        <w:ind w:firstLine="708"/>
        <w:jc w:val="both"/>
        <w:rPr>
          <w:bCs/>
        </w:rPr>
      </w:pPr>
      <w:r>
        <w:rPr>
          <w:bCs/>
        </w:rPr>
        <w:t>Решением о бюджете, бюджетной росписью поселения расходы на реализацию мероприятия утверждены в сумме 1 524,7 тыс. руб., в том числе по КБК:</w:t>
      </w:r>
    </w:p>
    <w:p>
      <w:pPr>
        <w:pStyle w:val="Normal"/>
        <w:ind w:firstLine="708"/>
        <w:jc w:val="both"/>
        <w:rPr>
          <w:bCs/>
        </w:rPr>
      </w:pPr>
      <w:r>
        <w:rPr>
          <w:bCs/>
        </w:rPr>
        <w:t>- 0503 0300282752 244 310 – 1 050,0 тыс. руб.;</w:t>
      </w:r>
    </w:p>
    <w:p>
      <w:pPr>
        <w:pStyle w:val="Normal"/>
        <w:ind w:firstLine="708"/>
        <w:jc w:val="both"/>
        <w:rPr>
          <w:bCs/>
        </w:rPr>
      </w:pPr>
      <w:r>
        <w:rPr>
          <w:bCs/>
        </w:rPr>
        <w:t>- 0503 03002</w:t>
      </w:r>
      <w:r>
        <w:rPr>
          <w:bCs/>
          <w:lang w:val="en-US"/>
        </w:rPr>
        <w:t>S</w:t>
      </w:r>
      <w:r>
        <w:rPr>
          <w:bCs/>
        </w:rPr>
        <w:t>2752 244 310 – 384,7 тыс. руб.;</w:t>
      </w:r>
    </w:p>
    <w:p>
      <w:pPr>
        <w:pStyle w:val="Normal"/>
        <w:ind w:firstLine="708"/>
        <w:jc w:val="both"/>
        <w:rPr>
          <w:bCs/>
        </w:rPr>
      </w:pPr>
      <w:r>
        <w:rPr>
          <w:bCs/>
        </w:rPr>
        <w:t>- 0503 0300202752 244 310 – 90,0 тыс. руб.</w:t>
      </w:r>
    </w:p>
    <w:p>
      <w:pPr>
        <w:pStyle w:val="Normal"/>
        <w:ind w:firstLine="708"/>
        <w:jc w:val="both"/>
        <w:rPr>
          <w:bCs/>
        </w:rPr>
      </w:pPr>
      <w:r>
        <w:rPr>
          <w:bCs/>
        </w:rPr>
        <w:t>Исполнение составило 100,0%.</w:t>
      </w:r>
    </w:p>
    <w:p>
      <w:pPr>
        <w:pStyle w:val="Normal"/>
        <w:ind w:firstLine="708"/>
        <w:jc w:val="both"/>
        <w:rPr>
          <w:bCs/>
        </w:rPr>
      </w:pPr>
      <w:r>
        <w:rPr>
          <w:bCs/>
        </w:rPr>
        <w:t>Условия соглашения в части обеспечения уровня софинансирования за счет средств поселения и заинтересованных лиц – исполнены.</w:t>
      </w:r>
    </w:p>
    <w:p>
      <w:pPr>
        <w:pStyle w:val="Normal"/>
        <w:ind w:firstLine="708"/>
        <w:jc w:val="both"/>
        <w:rPr>
          <w:bCs/>
        </w:rPr>
      </w:pPr>
      <w:r>
        <w:rPr>
          <w:bCs/>
        </w:rPr>
        <w:t xml:space="preserve">В нарушение условий соглашения документы, подтверждающие соблюдение условий предоставления субсидии в части обеспечение вклада физических лиц, ИП, юридических лиц в неденежной форме (непосредственное выполнение работ и услуг) на сумму 279,6 тыс. руб. в ходе внешней проверки не предоставлены. </w:t>
      </w:r>
    </w:p>
    <w:p>
      <w:pPr>
        <w:pStyle w:val="Normal"/>
        <w:ind w:firstLine="708"/>
        <w:jc w:val="both"/>
        <w:rPr>
          <w:bCs/>
        </w:rPr>
      </w:pPr>
      <w:r>
        <w:rPr>
          <w:bCs/>
        </w:rPr>
        <w:t>Кроме того, на конец отчетного года Площадка для выгула и дрессировки собак в гп. Талинка в эксплуатацию не введена, так как по данным оборотно-сальдовой ведомости числится на счете 010600000, как объект незавершенного строительства.</w:t>
      </w:r>
    </w:p>
    <w:p>
      <w:pPr>
        <w:pStyle w:val="Normal"/>
        <w:ind w:firstLine="708"/>
        <w:jc w:val="both"/>
        <w:rPr>
          <w:bCs/>
        </w:rPr>
      </w:pPr>
      <w:r>
        <w:rPr>
          <w:bCs/>
        </w:rPr>
        <w:t>В соответствии с п. 7. Приказа №209н к утвержденной структуре кодов КОСГУ предъявляются требования по разграничению безвозмездных поступлений в сектор государственного управления на поступления, перечисления текущего и капитального характера.</w:t>
      </w:r>
    </w:p>
    <w:p>
      <w:pPr>
        <w:pStyle w:val="Normal"/>
        <w:ind w:firstLine="708"/>
        <w:jc w:val="both"/>
        <w:rPr>
          <w:bCs/>
        </w:rPr>
      </w:pPr>
      <w:r>
        <w:rPr>
          <w:bCs/>
        </w:rPr>
        <w:t>К поступлениям, перечислениям капитального характера относятся безвозмездные поступления, перечисления, производимые в целях осуществления капитальных вложений, в результате которых происходит формирование (увеличение стоимости) основных фондов - недвижимого и (или) движимого имущества, признаваемого в целях бухгалтерского учета объектами основных средств, нематериальных активов, непроизведенных активов.</w:t>
      </w:r>
    </w:p>
    <w:p>
      <w:pPr>
        <w:pStyle w:val="Normal"/>
        <w:ind w:firstLine="708"/>
        <w:jc w:val="both"/>
        <w:rPr>
          <w:bCs/>
        </w:rPr>
      </w:pPr>
      <w:r>
        <w:rPr>
          <w:bCs/>
        </w:rPr>
        <w:t>По данным Справки по заключению счетов (ф. 0503110) в нарушение Приказа №209н межбюджетные субсидии в сумме 1 050,0 тыс. руб., а также инициативные платежи, поступившие в бюджет поселения в отчетном году в целях софинансирования заинтересованными лицами реализации инициативного проекта в сумме 90,0 тыс. руб., подлежащие отражению по соответствующим подстатьям статьи 160 КОСГУ «Безвозмездные денежные поступления капитального характера», отражены по подстатьям 151 и 155 как поступления текущего характера.</w:t>
      </w:r>
    </w:p>
    <w:p>
      <w:pPr>
        <w:pStyle w:val="Normal"/>
        <w:ind w:firstLine="709"/>
        <w:jc w:val="both"/>
        <w:rPr>
          <w:b/>
          <w:bCs/>
        </w:rPr>
      </w:pPr>
      <w:r>
        <w:rPr>
          <w:bCs/>
        </w:rPr>
        <w:t xml:space="preserve">Таким образом, администрацией поселения допущено нарушение </w:t>
      </w:r>
      <w:r>
        <w:rPr>
          <w:b/>
          <w:bCs/>
        </w:rPr>
        <w:t>порядка применения классификации операций сектора государственного управления, бухгалтерского учета в части доходов бюджета сумме 1 140,0 тыс.  руб.</w:t>
      </w:r>
    </w:p>
    <w:p>
      <w:pPr>
        <w:pStyle w:val="NormalWeb"/>
        <w:spacing w:lineRule="atLeast" w:line="288" w:beforeAutospacing="0" w:before="0" w:afterAutospacing="0" w:after="0"/>
        <w:ind w:firstLine="540"/>
        <w:jc w:val="both"/>
        <w:rPr/>
      </w:pPr>
      <w:r>
        <w:rPr>
          <w:b/>
        </w:rPr>
        <w:t>В нарушение Инструкции №191н</w:t>
      </w:r>
      <w:r>
        <w:rPr/>
        <w:t>, Приказа №209н в Отчете о движении денежных средств ф. 0503123 доходы в сумме 90,0 тыс. руб. отражены по подстатье КОСГУ 189 «Иные доходы».</w:t>
      </w:r>
    </w:p>
    <w:p>
      <w:pPr>
        <w:pStyle w:val="Normal"/>
        <w:ind w:firstLine="708"/>
        <w:jc w:val="both"/>
        <w:rPr>
          <w:bCs/>
        </w:rPr>
      </w:pPr>
      <w:r>
        <w:rPr>
          <w:bCs/>
        </w:rPr>
      </w:r>
    </w:p>
    <w:p>
      <w:pPr>
        <w:pStyle w:val="Normal"/>
        <w:ind w:firstLine="708"/>
        <w:jc w:val="both"/>
        <w:rPr>
          <w:bCs/>
        </w:rPr>
      </w:pPr>
      <w:r>
        <w:rPr>
          <w:bCs/>
        </w:rPr>
        <w:t xml:space="preserve">11). В рамках муниципальной программы «Пространственное развитие и формирование комфортной городской среды в муниципальном образовании Октябрьский район», утвержденной постановлением администрации Октябрьского района от 06.12.2024 №1913 на основании соглашения от 10.12.2024 №16/24 в ред. от 01.12.2025 на обработку 13 контейнерных площадок и 76 контейнеров поселению переданы ИМБТ в сумме 599,1 тыс. руб. </w:t>
      </w:r>
    </w:p>
    <w:p>
      <w:pPr>
        <w:pStyle w:val="Normal"/>
        <w:ind w:firstLine="708"/>
        <w:jc w:val="both"/>
        <w:rPr>
          <w:bCs/>
        </w:rPr>
      </w:pPr>
      <w:r>
        <w:rPr>
          <w:bCs/>
        </w:rPr>
        <w:t>Решением о бюджете, бюджетной росписью поселения расходы на реализацию мероприятия утверждены по КБК 0503 4060089130 244 225 в сумме 599,1 тыс. руб., исполнение составило 100,0%.</w:t>
      </w:r>
    </w:p>
    <w:p>
      <w:pPr>
        <w:pStyle w:val="Normal"/>
        <w:ind w:firstLine="708"/>
        <w:jc w:val="both"/>
        <w:rPr>
          <w:bCs/>
        </w:rPr>
      </w:pPr>
      <w:r>
        <w:rPr>
          <w:bCs/>
        </w:rPr>
        <w:t>Администрацией поселения заключены муниципальные контракты с ООО «УК «Талинское благоустройство» на оказание услуг по дезинфекционной, дезинсекционной, дератизационной обработке контейнерных площадок и контейнеров для сбора твердых коммунальных отходов на территориях общего пользования городского поселения Талинка на сумму 599,1 тыс. руб.:</w:t>
      </w:r>
    </w:p>
    <w:p>
      <w:pPr>
        <w:pStyle w:val="Normal"/>
        <w:ind w:firstLine="708"/>
        <w:jc w:val="both"/>
        <w:rPr>
          <w:bCs/>
        </w:rPr>
      </w:pPr>
      <w:r>
        <w:rPr>
          <w:bCs/>
        </w:rPr>
        <w:t>- №0187300015424000026 от 11.11.2024 на сумму 550,0 тыс. руб. (далее – МК №26);</w:t>
      </w:r>
    </w:p>
    <w:p>
      <w:pPr>
        <w:pStyle w:val="Normal"/>
        <w:ind w:firstLine="708"/>
        <w:jc w:val="both"/>
        <w:rPr>
          <w:bCs/>
        </w:rPr>
      </w:pPr>
      <w:r>
        <w:rPr>
          <w:bCs/>
        </w:rPr>
        <w:t>- №88 от 15.10.2025 на сумму 49,1 тыс. руб. (далее – МК №88).</w:t>
      </w:r>
    </w:p>
    <w:p>
      <w:pPr>
        <w:pStyle w:val="Normal"/>
        <w:ind w:firstLine="708"/>
        <w:jc w:val="both"/>
        <w:rPr>
          <w:bCs/>
        </w:rPr>
      </w:pPr>
      <w:r>
        <w:rPr>
          <w:bCs/>
        </w:rPr>
        <w:t xml:space="preserve">Обработка контейнеров и контейнерных площадок осуществляется путем дезинфекционной, дезинсекционной, дератизационной обработки в целях санитарно-противоэпидемических (профилактических) мероприятий. В соответствии с п. 18.2.9. Приказа №82н мероприятия в области санитарно-эпидемиологического надзора и благополучия населения подлежат отражению по подразделу 0907 «Санитарно-эпидемиологическое благополучие» классификации расходов бюджетов. </w:t>
      </w:r>
    </w:p>
    <w:p>
      <w:pPr>
        <w:pStyle w:val="Normal"/>
        <w:ind w:firstLine="708"/>
        <w:jc w:val="both"/>
        <w:rPr>
          <w:bCs/>
        </w:rPr>
      </w:pPr>
      <w:r>
        <w:rPr>
          <w:bCs/>
        </w:rPr>
        <w:t>В нарушение Приказа №82н, Приказа №162н расходы по МК №26, МК №88 в сумме 599,1 тыс. руб. отражены по счету 05034060089130244.1.401.20.225, то есть по несоответствующему подразделу 0503.</w:t>
      </w:r>
    </w:p>
    <w:p>
      <w:pPr>
        <w:pStyle w:val="Normal"/>
        <w:ind w:firstLine="709"/>
        <w:jc w:val="both"/>
        <w:rPr>
          <w:b/>
          <w:bCs/>
        </w:rPr>
      </w:pPr>
      <w:r>
        <w:rPr>
          <w:b/>
          <w:bCs/>
        </w:rPr>
        <w:t>Нарушение порядка применения кодов бюджетной классификации, бухгалтерского учета составило 559,1 тыс. руб.</w:t>
      </w:r>
    </w:p>
    <w:p>
      <w:pPr>
        <w:pStyle w:val="Normal"/>
        <w:ind w:firstLine="708"/>
        <w:jc w:val="both"/>
        <w:rPr>
          <w:bCs/>
        </w:rPr>
      </w:pPr>
      <w:r>
        <w:rPr>
          <w:bCs/>
        </w:rPr>
        <w:t>Согласно техническому заданию, перечню объектов, подлежащих обработке, установленных в приложениях к муниципальным контрактам:</w:t>
      </w:r>
    </w:p>
    <w:p>
      <w:pPr>
        <w:pStyle w:val="Normal"/>
        <w:ind w:firstLine="708"/>
        <w:jc w:val="both"/>
        <w:rPr>
          <w:bCs/>
        </w:rPr>
      </w:pPr>
      <w:r>
        <w:rPr>
          <w:bCs/>
        </w:rPr>
        <w:t>- по МК №26: количество услуг: контейнеры для сбора ТКО объемом 1,1м3 – 76 шт., контейнерные площадки – 45 шт.;</w:t>
      </w:r>
    </w:p>
    <w:p>
      <w:pPr>
        <w:pStyle w:val="Normal"/>
        <w:ind w:firstLine="708"/>
        <w:jc w:val="both"/>
        <w:rPr>
          <w:bCs/>
        </w:rPr>
      </w:pPr>
      <w:r>
        <w:rPr>
          <w:bCs/>
        </w:rPr>
        <w:t>- по МК №88: количество услуг: контейнерные площадки – 42 шт.</w:t>
      </w:r>
    </w:p>
    <w:p>
      <w:pPr>
        <w:pStyle w:val="Normal"/>
        <w:ind w:firstLine="708"/>
        <w:jc w:val="both"/>
        <w:rPr>
          <w:bCs/>
        </w:rPr>
      </w:pPr>
      <w:r>
        <w:rPr>
          <w:bCs/>
        </w:rPr>
        <w:t>По данным регистров бухгалтерского учета в составе основных средств, имущества казны учтено 12 площадок и 91 контейнер, в том числе:</w:t>
      </w:r>
    </w:p>
    <w:p>
      <w:pPr>
        <w:pStyle w:val="Normal"/>
        <w:ind w:firstLine="708"/>
        <w:jc w:val="both"/>
        <w:rPr>
          <w:bCs/>
        </w:rPr>
      </w:pPr>
      <w:r>
        <w:rPr>
          <w:bCs/>
        </w:rPr>
        <w:t>- на счете 010851000 – 1 площадка временного накопления ТКО – на сумму 11 847,6 тыс. руб.;</w:t>
      </w:r>
    </w:p>
    <w:p>
      <w:pPr>
        <w:pStyle w:val="Normal"/>
        <w:ind w:firstLine="708"/>
        <w:jc w:val="both"/>
        <w:rPr>
          <w:bCs/>
        </w:rPr>
      </w:pPr>
      <w:r>
        <w:rPr>
          <w:bCs/>
        </w:rPr>
        <w:t>- на 010852000 – 6 площадок для установки контейнеров ТКО (с указанием местонахождения) на сумму 660,0 тыс. руб., контейнеры объемом 0,75м3 – шт. на сумму 595,5м3;</w:t>
      </w:r>
    </w:p>
    <w:p>
      <w:pPr>
        <w:pStyle w:val="Normal"/>
        <w:ind w:firstLine="708"/>
        <w:jc w:val="both"/>
        <w:rPr>
          <w:bCs/>
        </w:rPr>
      </w:pPr>
      <w:r>
        <w:rPr>
          <w:bCs/>
        </w:rPr>
        <w:t>- на счете 010100000 – 4 площадки с указанием адреса местонахождения на сумму 585,1 тыс. руб., 1 контейнерная площадка стоимостью 3 090,0 тыс. руб. (без указания местонахождения), мусорный контейнер с крышкой на сумму 21,0 тыс. руб.</w:t>
      </w:r>
    </w:p>
    <w:p>
      <w:pPr>
        <w:pStyle w:val="Normal"/>
        <w:ind w:firstLine="708"/>
        <w:jc w:val="both"/>
        <w:rPr>
          <w:b/>
          <w:bCs/>
        </w:rPr>
      </w:pPr>
      <w:r>
        <w:rPr>
          <w:bCs/>
        </w:rPr>
        <w:t xml:space="preserve">Данный факт свидетельствует </w:t>
      </w:r>
      <w:r>
        <w:rPr>
          <w:b/>
          <w:bCs/>
        </w:rPr>
        <w:t>о наличии нарушений порядка управления муниципальной собственностью в части учета объектов муниципального имущества.</w:t>
      </w:r>
    </w:p>
    <w:p>
      <w:pPr>
        <w:pStyle w:val="Normal"/>
        <w:ind w:firstLine="708"/>
        <w:jc w:val="both"/>
        <w:rPr>
          <w:bCs/>
        </w:rPr>
      </w:pPr>
      <w:r>
        <w:rPr>
          <w:bCs/>
        </w:rPr>
      </w:r>
    </w:p>
    <w:p>
      <w:pPr>
        <w:pStyle w:val="Normal"/>
        <w:ind w:firstLine="708"/>
        <w:jc w:val="both"/>
        <w:rPr>
          <w:bCs/>
        </w:rPr>
      </w:pPr>
      <w:r>
        <w:rPr>
          <w:bCs/>
        </w:rPr>
        <w:t>12). В рамках муниципальной программы «Пространственное развитие и формирование комфортной городской среды в муниципальном образовании Октябрьский район», утвержденной постановлением администрации Октябрьского района от 06.12.2024 №1913 на основании соглашения от 10.12.2024 №25/24 в ред. от 18.09.2025 поселению предоставлена субсидия на реализацию мероприятия по благоустройству общественной территории «Сквер Защитникам Отечества» по адресу ул. Нефтяников, 18Б, 2 этап, в сумме 10 600,2 тыс. руб., в том числе за счет средств:</w:t>
      </w:r>
    </w:p>
    <w:p>
      <w:pPr>
        <w:pStyle w:val="Normal"/>
        <w:ind w:firstLine="708"/>
        <w:jc w:val="both"/>
        <w:rPr>
          <w:bCs/>
        </w:rPr>
      </w:pPr>
      <w:r>
        <w:rPr>
          <w:bCs/>
        </w:rPr>
        <w:t>- федерального бюджета – 3 514,0 тыс. руб.;</w:t>
      </w:r>
    </w:p>
    <w:p>
      <w:pPr>
        <w:pStyle w:val="Normal"/>
        <w:ind w:firstLine="708"/>
        <w:jc w:val="both"/>
        <w:rPr>
          <w:bCs/>
        </w:rPr>
      </w:pPr>
      <w:r>
        <w:rPr>
          <w:bCs/>
        </w:rPr>
        <w:t>- окружного бюджета – 5 496,2 тыс. руб.;</w:t>
      </w:r>
    </w:p>
    <w:p>
      <w:pPr>
        <w:pStyle w:val="Normal"/>
        <w:ind w:firstLine="708"/>
        <w:jc w:val="both"/>
        <w:rPr>
          <w:bCs/>
        </w:rPr>
      </w:pPr>
      <w:r>
        <w:rPr>
          <w:bCs/>
        </w:rPr>
        <w:t>- бюджета Октябрьского района – 1 590,0 тыс. руб.</w:t>
      </w:r>
    </w:p>
    <w:p>
      <w:pPr>
        <w:pStyle w:val="Normal"/>
        <w:ind w:firstLine="708"/>
        <w:jc w:val="both"/>
        <w:rPr>
          <w:bCs/>
        </w:rPr>
      </w:pPr>
      <w:r>
        <w:rPr>
          <w:bCs/>
        </w:rPr>
        <w:t>Решением о бюджете, бюджетной росписью поселения расходы на реализацию мероприятия в сумме 10 600,2 тыс. руб. утверждены по КБК 0503 406И455550 244 310. Исполнение составило 100,0%.</w:t>
      </w:r>
    </w:p>
    <w:p>
      <w:pPr>
        <w:pStyle w:val="Normal"/>
        <w:ind w:firstLine="708"/>
        <w:jc w:val="both"/>
        <w:rPr>
          <w:bCs/>
        </w:rPr>
      </w:pPr>
      <w:r>
        <w:rPr>
          <w:bCs/>
        </w:rPr>
        <w:t>По данным формы 0503190 объект благоустройства «Сквер Защитникам Отечества» с 2023 года и на конец отчетного года числится в составе объектов незавершенного строительства, общая сумма расходов с начала реализации проекта составила                         18 980,7 тыс. руб., в том числе за 2025 год – 11 030,4 тыс. руб.. из них за счет средств субсидии – 10 600,2 тыс. руб., за счет средств бюджета поселения – 430,2 тыс. руб.</w:t>
      </w:r>
    </w:p>
    <w:p>
      <w:pPr>
        <w:pStyle w:val="NormalWeb"/>
        <w:spacing w:lineRule="atLeast" w:line="288" w:beforeAutospacing="0" w:before="0" w:afterAutospacing="0" w:after="0"/>
        <w:ind w:firstLine="709"/>
        <w:jc w:val="both"/>
        <w:rPr>
          <w:bCs/>
        </w:rPr>
      </w:pPr>
      <w:r>
        <w:rPr>
          <w:bCs/>
        </w:rPr>
        <w:t>В соответствии с п.38 Приказа №162н для учета операций с объектами имущества казны применяются счета аналитического учета счета 010800000 «Нефинансовые активы имущества казны». Принятие к бюджетному учету вновь выстроенных (созданных, приобретенных) зданий, сооружений и иного имущества, отнесенного согласно законодательству Российской Федерации к недвижимому имуществу, в составе имущества казны, движимого имущества, составляющего казну, в том числе созданного хозяйственным способом, за исключением объектов библиотечного фонда, по первоначальной стоимости, сформированной при их приобретении, создании, изготовлении, увеличении первоначальной (балансовой) стоимости недвижимого имущества, составляющего казну, в результате работ по достройке, реконструкции зданий (сооружений), в том числе с элементами реставрации, техническому перевооружению, нематериальных активов, непроизведенных активов, материальных запасов, составляющих имущество казны, отражается по дебету соответствующих счетов аналитического учета счета 010800000 «Нефинансовые активы имущества казны» и кредиту соответствующих счетов аналитического учета счета 0 106 50 000 «Вложения в объекты государственной (муниципальной) казны».</w:t>
      </w:r>
    </w:p>
    <w:p>
      <w:pPr>
        <w:pStyle w:val="Normal"/>
        <w:ind w:firstLine="709"/>
        <w:jc w:val="both"/>
        <w:rPr>
          <w:b/>
          <w:bCs/>
        </w:rPr>
      </w:pPr>
      <w:r>
        <w:rPr>
          <w:bCs/>
        </w:rPr>
        <w:t xml:space="preserve">Согласно письмам Минфина России от 06.10.2023 № 02-06-10/95480, от 24.05.2023 № 02-07-05/47523, от 17.05.2023 № 02-07-05/45114 </w:t>
      </w:r>
      <w:r>
        <w:rPr>
          <w:b/>
          <w:bCs/>
        </w:rPr>
        <w:t>до момента принятия объектов нефинансовых активов к учету в составе имущества казны учет операций по капитальным вложениям в объекты движимого или недвижимого имущества, составляющего государственную (муниципальную) казну, осуществляется на соответствующих счетах аналитического учета счета 0 106 50 000 «Вложения в объекты государственной (муниципальной) казны».</w:t>
      </w:r>
    </w:p>
    <w:p>
      <w:pPr>
        <w:pStyle w:val="NormalWeb"/>
        <w:spacing w:lineRule="atLeast" w:line="288" w:beforeAutospacing="0" w:before="0" w:afterAutospacing="0" w:after="0"/>
        <w:ind w:firstLine="709"/>
        <w:jc w:val="both"/>
        <w:rPr/>
      </w:pPr>
      <w:r>
        <w:rPr/>
        <w:t xml:space="preserve">В заключении от 11.04.2025 №91 было указано о нарушениях в части учета нефинансовых активов, подлежащих учету в составе имущества казны, с применением несоответствующих счетов бухгалтерского учета (01063Х000). По данным журнала №4 </w:t>
      </w:r>
      <w:r>
        <w:rPr>
          <w:b/>
        </w:rPr>
        <w:t>нарушение не устранено</w:t>
      </w:r>
      <w:r>
        <w:rPr/>
        <w:t xml:space="preserve">, в отчетном периоде формирование стоимости только одного объекта (площадка для выгула собак) осуществлялось с применением соответствующего счета (010652000), все остальные операции по созданию, приобретению нефинансовых активов, в том числе, подлежащих учету в составе имущества казны, осуществлялись с применением не соответствующих счетов бухгалтерского учета (010631000, 010611000). </w:t>
      </w:r>
    </w:p>
    <w:p>
      <w:pPr>
        <w:pStyle w:val="NormalWeb"/>
        <w:spacing w:lineRule="atLeast" w:line="288" w:beforeAutospacing="0" w:before="0" w:afterAutospacing="0" w:after="0"/>
        <w:ind w:firstLine="709"/>
        <w:jc w:val="both"/>
        <w:rPr>
          <w:b/>
        </w:rPr>
      </w:pPr>
      <w:r>
        <w:rPr/>
        <w:t xml:space="preserve">В нарушение Приказа №162н формирование стоимости объекта: «Сквер Защитникам Отечества» на общую сумму 11 030,4 тыс. руб. осуществлялось с применением счета 010611000. </w:t>
      </w:r>
      <w:r>
        <w:rPr>
          <w:b/>
        </w:rPr>
        <w:t>Нарушение бухгалтерского учета составило 11 030,4 тыс. руб.</w:t>
      </w:r>
    </w:p>
    <w:p>
      <w:pPr>
        <w:pStyle w:val="Normal"/>
        <w:ind w:firstLine="708"/>
        <w:jc w:val="both"/>
        <w:rPr>
          <w:bCs/>
          <w:highlight w:val="green"/>
        </w:rPr>
      </w:pPr>
      <w:r>
        <w:rPr>
          <w:bCs/>
          <w:highlight w:val="green"/>
        </w:rPr>
      </w:r>
    </w:p>
    <w:p>
      <w:pPr>
        <w:pStyle w:val="Normal"/>
        <w:ind w:firstLine="708"/>
        <w:jc w:val="both"/>
        <w:rPr>
          <w:bCs/>
        </w:rPr>
      </w:pPr>
      <w:r>
        <w:rPr/>
        <w:t xml:space="preserve">13). </w:t>
      </w:r>
      <w:r>
        <w:rPr>
          <w:bCs/>
        </w:rPr>
        <w:t>В рамках муниципальной программы «Экологическая безопасность в муниципальном образовании Октябрьский район», утвержденной постановлением администрации Октябрьского района от 06.12.2024 №1894, на основании соглашения от 26.06.2025 в ред. от 22.12.2025 за счет средств бюджета района поселению предоставлены ИМБТ на ликвидацию мест несанкционированного размещения отходов в сумме 3 341,8 тыс. руб. Согласно п. 6 раздела 3 соглашения администрация поселения обязана предоставить отчет о фактическом использовании иных МБТ по форме согласно приложения №2 к соглашению, в котором должно быть указано плановое значение показателя, достигнутое значение показателя, процент выполнения, при этом, плановое значение показателя результатов предоставления ИМБТ соглашением не установлено.</w:t>
      </w:r>
    </w:p>
    <w:p>
      <w:pPr>
        <w:pStyle w:val="Normal"/>
        <w:ind w:firstLine="708"/>
        <w:jc w:val="both"/>
        <w:rPr>
          <w:bCs/>
        </w:rPr>
      </w:pPr>
      <w:r>
        <w:rPr>
          <w:bCs/>
        </w:rPr>
        <w:t>Решением о бюджете, бюджетной росписью поселения расходы на реализацию мероприятия в сумме 3 341,8 тыс. руб. утверждены по КБК 0605 4040089062 244 </w:t>
      </w:r>
      <w:r>
        <w:rPr>
          <w:b/>
          <w:bCs/>
        </w:rPr>
        <w:t>225.</w:t>
      </w:r>
    </w:p>
    <w:p>
      <w:pPr>
        <w:pStyle w:val="Normal"/>
        <w:ind w:firstLine="708"/>
        <w:jc w:val="both"/>
        <w:rPr>
          <w:bCs/>
        </w:rPr>
      </w:pPr>
      <w:r>
        <w:rPr>
          <w:bCs/>
        </w:rPr>
        <w:t>Исполнение составило 100,0%.</w:t>
      </w:r>
    </w:p>
    <w:p>
      <w:pPr>
        <w:pStyle w:val="Normal"/>
        <w:ind w:firstLine="708"/>
        <w:jc w:val="both"/>
        <w:rPr>
          <w:bCs/>
        </w:rPr>
      </w:pPr>
      <w:r>
        <w:rPr>
          <w:bCs/>
        </w:rPr>
        <w:t>Администрацией поселения заключен муниципальные контракты с ООО «АвтоСпецТехника»:</w:t>
      </w:r>
    </w:p>
    <w:p>
      <w:pPr>
        <w:pStyle w:val="Normal"/>
        <w:ind w:firstLine="708"/>
        <w:jc w:val="both"/>
        <w:rPr>
          <w:bCs/>
        </w:rPr>
      </w:pPr>
      <w:r>
        <w:rPr>
          <w:bCs/>
        </w:rPr>
        <w:t>- №0187300015425000024 от 16.09.2025 на выполнение работ по ликвидации несанкционированной свалки отходов на территории гп Талинка в границах участка с координатами: широта - №6132,46, долгота – Е662819,39 на сумму 2 741,9 тыс. руб., площадь участка – 1075м2;</w:t>
      </w:r>
    </w:p>
    <w:p>
      <w:pPr>
        <w:pStyle w:val="Normal"/>
        <w:ind w:firstLine="708"/>
        <w:jc w:val="both"/>
        <w:rPr>
          <w:bCs/>
        </w:rPr>
      </w:pPr>
      <w:r>
        <w:rPr>
          <w:bCs/>
        </w:rPr>
        <w:t>- №91 от 22.10.2025 на выполнение работ по ликвидации несанкционированной свалки отходов, в границах участка с координатами: 61.5588508, 66.4707477 на территории г.п. Талинка на сумму 600,0 тыс. руб., площадь участка – 530м2.</w:t>
      </w:r>
    </w:p>
    <w:p>
      <w:pPr>
        <w:pStyle w:val="Normal"/>
        <w:ind w:firstLine="708"/>
        <w:jc w:val="both"/>
        <w:rPr>
          <w:bCs/>
        </w:rPr>
      </w:pPr>
      <w:r>
        <w:rPr>
          <w:bCs/>
        </w:rPr>
        <w:t>В соответствии с п. 10.2.5. Приказа №209н на подстатью КОСГУ 225 «Работы, услуги по содержанию имущества» относятся расходы по оплате договоров на выполнение работ, оказание услуг, связанных с содержанием (работы и услуги, осуществляемые с целью поддержания и (или) восстановления функциональных, пользовательских характеристик объекта), обслуживанием, ремонтом нефинансовых активов, полученных в аренду или безвозмездное пользование, находящихся на праве оперативного управления и в государственной казне Российской Федерации, субъекта Российской Федерации, казне муниципального образования.</w:t>
      </w:r>
    </w:p>
    <w:p>
      <w:pPr>
        <w:pStyle w:val="Normal"/>
        <w:ind w:firstLine="708"/>
        <w:jc w:val="both"/>
        <w:rPr>
          <w:bCs/>
        </w:rPr>
      </w:pPr>
      <w:r>
        <w:rPr>
          <w:bCs/>
        </w:rPr>
        <w:t>В составе нефинансовых активов на счете 0 108 55 000 указанные земельные участки – отсутствуют, в ходе внешней проверки правоустанавливающие документы на земельные участки не предоставлены, следовательно, в соответствии с п. 10.2.6 Приказа №209н расходы по очистке данной территории подлежат отражению по подстатье КОСГУ 226 «Прочие работы услуги».</w:t>
      </w:r>
    </w:p>
    <w:p>
      <w:pPr>
        <w:pStyle w:val="Normal"/>
        <w:ind w:firstLine="708"/>
        <w:jc w:val="both"/>
        <w:rPr>
          <w:b/>
          <w:bCs/>
        </w:rPr>
      </w:pPr>
      <w:r>
        <w:rPr>
          <w:bCs/>
        </w:rPr>
        <w:t xml:space="preserve">По данным журнала №4 расходы в сумме 3 341,8 тыс. руб. приняты к бухгалтерскому учету по счету 06054040089062244.1.401.20.225. </w:t>
      </w:r>
      <w:r>
        <w:rPr>
          <w:b/>
          <w:bCs/>
        </w:rPr>
        <w:t>Нарушение порядка применения классификации операций сектора государственного управления, бухгалтерского учета составило 3 341,8 тыс. руб.</w:t>
      </w:r>
    </w:p>
    <w:p>
      <w:pPr>
        <w:pStyle w:val="Normal"/>
        <w:ind w:firstLine="708"/>
        <w:jc w:val="both"/>
        <w:rPr>
          <w:highlight w:val="green"/>
        </w:rPr>
      </w:pPr>
      <w:r>
        <w:rPr>
          <w:highlight w:val="green"/>
        </w:rPr>
      </w:r>
    </w:p>
    <w:p>
      <w:pPr>
        <w:pStyle w:val="Normal"/>
        <w:ind w:firstLine="708"/>
        <w:jc w:val="both"/>
        <w:rPr/>
      </w:pPr>
      <w:r>
        <w:rPr/>
        <w:t>14). В рамках муниципальной программы «Экологическая безопасность в муниципальном образовании Октябрьский район», утвержденной постановлением администрации Октябрьского района от 06.12.2024 №1894, на основании соглашения №33 от 28.04.2025 за счет средств бюджета района поселению предоставлены ИМБТ в целях проведения мероприятий международной экологической акции «Спасти и сохранить» в соответствии с постановлением администрации Октябрьского района от 22.04.2025 №592 в сумме 40,0 тыс. руб. Согласно постановлению от 22.04.2025 №592 средства ИМБТ должны быть направлены на:</w:t>
      </w:r>
    </w:p>
    <w:p>
      <w:pPr>
        <w:pStyle w:val="Normal"/>
        <w:ind w:firstLine="708"/>
        <w:jc w:val="both"/>
        <w:rPr/>
      </w:pPr>
      <w:r>
        <w:rPr/>
        <w:t>- организацию участия в международном конкурсе-выставке детского творчества «Красная книга глазами детей» - 20,0 тыс. руб.;</w:t>
      </w:r>
    </w:p>
    <w:p>
      <w:pPr>
        <w:pStyle w:val="Normal"/>
        <w:ind w:firstLine="708"/>
        <w:jc w:val="both"/>
        <w:rPr/>
      </w:pPr>
      <w:r>
        <w:rPr/>
        <w:t>- организацию и проведение международного конкурса-выставки детского творчества «Мы в ответе за тех, кого приручили» - 20,0 тыс. руб.</w:t>
      </w:r>
    </w:p>
    <w:p>
      <w:pPr>
        <w:pStyle w:val="Normal"/>
        <w:ind w:firstLine="708"/>
        <w:jc w:val="both"/>
        <w:rPr/>
      </w:pPr>
      <w:r>
        <w:rPr/>
        <w:t xml:space="preserve">В соответствии со </w:t>
      </w:r>
      <w:r>
        <w:rPr>
          <w:bCs/>
        </w:rPr>
        <w:t>ст. 28 БК РФ в числе принципов, на которых установлена бюджетная система Российской Федерации, утвержден</w:t>
      </w:r>
      <w:r>
        <w:rPr/>
        <w:t xml:space="preserve"> принцип адресности </w:t>
      </w:r>
      <w:r>
        <w:rPr>
          <w:bCs/>
        </w:rPr>
        <w:t xml:space="preserve">и целевого характера бюджетных средств. </w:t>
      </w:r>
      <w:r>
        <w:rPr/>
        <w:t>В соответствии со ст.38 БК РФ принцип адресности и целевого характера бюджетных средств означает, что бюджетные ассигнования и лимиты бюджетных обязательств доводятся до конкретных получателей бюджетных средств с указанием цели их использования.</w:t>
      </w:r>
    </w:p>
    <w:p>
      <w:pPr>
        <w:pStyle w:val="Normal"/>
        <w:ind w:firstLine="708"/>
        <w:jc w:val="both"/>
        <w:rPr/>
      </w:pPr>
      <w:r>
        <w:rPr/>
        <w:t xml:space="preserve">Администрацией поселения предоставлена субсидия подведомственному учреждению на иные цели на основании соглашения №3 от 17.06.2025, </w:t>
      </w:r>
      <w:r>
        <w:rPr>
          <w:b/>
        </w:rPr>
        <w:t xml:space="preserve">в нарушение ст. 28, ст. 34 БК РФ </w:t>
      </w:r>
      <w:r>
        <w:rPr>
          <w:bCs/>
        </w:rPr>
        <w:t xml:space="preserve">в соглашении </w:t>
      </w:r>
      <w:r>
        <w:rPr/>
        <w:t xml:space="preserve">о предоставлении субсидии </w:t>
      </w:r>
      <w:r>
        <w:rPr>
          <w:bCs/>
        </w:rPr>
        <w:t xml:space="preserve">указана обобщенная формулировка цели </w:t>
      </w:r>
      <w:r>
        <w:rPr/>
        <w:t xml:space="preserve">предоставления средств, направления расходования средств соглашением не установлены. </w:t>
      </w:r>
    </w:p>
    <w:p>
      <w:pPr>
        <w:pStyle w:val="Normal"/>
        <w:ind w:firstLine="708"/>
        <w:jc w:val="both"/>
        <w:rPr/>
      </w:pPr>
      <w:r>
        <w:rPr/>
        <w:t>По данным предоставленного отчета, приглашений от АНО «Центр содействия природоохранным инициативам «Экология» и института народов Севера РГПУ им. А.И. Герцена средства ИМБТ направлены на оплату командировочных расходов сотрудника МБУ «ЦКС» для участия в деловой программе XVI международного форума «Экология» и представления опыта сотрудника МБУ «ЦКС», как руководителя международных экологических проектов детского творчества «Красная книга глазами детей и «Мы в ответе за тех, кого приручили» и для представления Передвижной выставки «Полет Надежды. Стерх – белый журавль», что соответствует формулировке «участие», при этом не соответствует формулировке «организация и проведение».</w:t>
      </w:r>
    </w:p>
    <w:p>
      <w:pPr>
        <w:pStyle w:val="Normal"/>
        <w:ind w:firstLine="708"/>
        <w:jc w:val="both"/>
        <w:rPr/>
      </w:pPr>
      <w:r>
        <w:rPr/>
        <w:t>Установить обоснованность и целевое расходование бюджетных средств в рамках внешней проверки не представляется возможным.</w:t>
      </w:r>
    </w:p>
    <w:p>
      <w:pPr>
        <w:pStyle w:val="Normal"/>
        <w:ind w:firstLine="708"/>
        <w:jc w:val="both"/>
        <w:rPr/>
      </w:pPr>
      <w:r>
        <w:rPr/>
      </w:r>
    </w:p>
    <w:p>
      <w:pPr>
        <w:pStyle w:val="Normal"/>
        <w:ind w:firstLine="708"/>
        <w:jc w:val="both"/>
        <w:rPr>
          <w:bCs/>
        </w:rPr>
      </w:pPr>
      <w:r>
        <w:rPr/>
        <w:t xml:space="preserve">15). </w:t>
      </w:r>
      <w:r>
        <w:rPr>
          <w:bCs/>
        </w:rPr>
        <w:t>За счет средств бюджета района в рамках муниципальной программы «Развитие культуры и туризма в муниципальном образовании Октябрьский район», утвержденной постановлением администрации Октябрьского района от 06.12.2024 №1908, на основании Соглашения от 09.01.2025 №03 на проведение мероприятий для граждан старшего поколения предоставлены ИМБТ в сумме 282,4 тыс. руб.</w:t>
      </w:r>
    </w:p>
    <w:p>
      <w:pPr>
        <w:pStyle w:val="Normal"/>
        <w:ind w:firstLine="709"/>
        <w:jc w:val="both"/>
        <w:rPr>
          <w:bCs/>
        </w:rPr>
      </w:pPr>
      <w:r>
        <w:rPr>
          <w:bCs/>
        </w:rPr>
        <w:t xml:space="preserve">Решением о бюджете расходы в сумме 282,4 тыс. руб. утверждены по КБК 0804 4070089031 633 246.   </w:t>
      </w:r>
    </w:p>
    <w:p>
      <w:pPr>
        <w:pStyle w:val="Normal"/>
        <w:ind w:firstLine="709"/>
        <w:jc w:val="both"/>
        <w:rPr>
          <w:bCs/>
        </w:rPr>
      </w:pPr>
      <w:r>
        <w:rPr>
          <w:bCs/>
        </w:rPr>
        <w:t>Исполнение составило 100,0%, на основании соглашения №1 от 04.09.2025 11.12.2025 Общественной организации пенсионеров п. Талинка «Ветеран» предоставлена субсидия на проведение культурно-массовых (праздничных) мероприятий в соответствии с календарным планом, утвержденным приложением №1 к соглашению.</w:t>
      </w:r>
    </w:p>
    <w:p>
      <w:pPr>
        <w:pStyle w:val="Normal"/>
        <w:ind w:firstLine="708"/>
        <w:jc w:val="both"/>
        <w:rPr/>
      </w:pPr>
      <w:r>
        <w:rPr>
          <w:bCs/>
        </w:rPr>
        <w:t xml:space="preserve">В соответствии с п. 18.2.8. </w:t>
      </w:r>
      <w:r>
        <w:rPr/>
        <w:t xml:space="preserve">Приказа № 82н: </w:t>
      </w:r>
    </w:p>
    <w:p>
      <w:pPr>
        <w:pStyle w:val="Normal"/>
        <w:ind w:firstLine="708"/>
        <w:jc w:val="both"/>
        <w:rPr>
          <w:bCs/>
        </w:rPr>
      </w:pPr>
      <w:r>
        <w:rPr/>
        <w:t xml:space="preserve">- </w:t>
      </w:r>
      <w:r>
        <w:rPr>
          <w:bCs/>
        </w:rPr>
        <w:t xml:space="preserve">по подразделу 0801 «Культура» классификации расходов бюджетов подлежат отражению расходы на обеспечение деятельности учреждений культуры, подготовку и проведение мероприятий в сфере культуры; </w:t>
      </w:r>
    </w:p>
    <w:p>
      <w:pPr>
        <w:pStyle w:val="Normal"/>
        <w:ind w:firstLine="708"/>
        <w:jc w:val="both"/>
        <w:rPr>
          <w:bCs/>
        </w:rPr>
      </w:pPr>
      <w:r>
        <w:rPr>
          <w:bCs/>
        </w:rPr>
        <w:t xml:space="preserve">- по подразделу 0804 «Другие вопросы в области культуры, кинематографии» классификации расходов бюджетов подлежат отражению расходы на обеспечение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учреждений, осуществляющих руководство, управление в сфере культуры, кинематографии, а также разработку общей политики, планов, программ и бюджетов в этой сфере, управление ими, их координацию и контроль, формирование и ведение единого государственного реестра объектов культурного наследия (памятников истории и культуры) народов Российской Федерации; обеспечение деятельности Российского государственного военного историко-культурного центра при Правительстве Российской Федерации и иные расходы, включая выплату премий Президента Российской Федерации и Правительства Российской Федерации в области культуры, кинематографии, не отнесенные на другие подразделы данного раздела классификации расходов бюджетов. </w:t>
      </w:r>
    </w:p>
    <w:p>
      <w:pPr>
        <w:pStyle w:val="Normal"/>
        <w:ind w:firstLine="709"/>
        <w:jc w:val="both"/>
        <w:rPr>
          <w:bCs/>
        </w:rPr>
      </w:pPr>
      <w:r>
        <w:rPr>
          <w:bCs/>
        </w:rPr>
        <w:t>В нарушение Приказа №82н расходы в сумме 282,4 тыс. руб. отражены по счету 08044070089031633.1.401.20.246.</w:t>
      </w:r>
    </w:p>
    <w:p>
      <w:pPr>
        <w:pStyle w:val="Normal"/>
        <w:ind w:firstLine="709"/>
        <w:jc w:val="both"/>
        <w:rPr>
          <w:b/>
          <w:bCs/>
        </w:rPr>
      </w:pPr>
      <w:r>
        <w:rPr>
          <w:b/>
          <w:bCs/>
        </w:rPr>
        <w:t>Нарушение порядка применения кодов бюджетной классификации, бухгалтерского учета составило 282,4 тыс. руб.</w:t>
      </w:r>
    </w:p>
    <w:p>
      <w:pPr>
        <w:pStyle w:val="Normal"/>
        <w:ind w:firstLine="708"/>
        <w:jc w:val="both"/>
        <w:rPr/>
      </w:pPr>
      <w:r>
        <w:rPr/>
      </w:r>
    </w:p>
    <w:p>
      <w:pPr>
        <w:pStyle w:val="Normal"/>
        <w:ind w:firstLine="708"/>
        <w:jc w:val="both"/>
        <w:rPr>
          <w:bCs/>
        </w:rPr>
      </w:pPr>
      <w:r>
        <w:rPr/>
        <w:t xml:space="preserve">16). </w:t>
      </w:r>
      <w:r>
        <w:rPr>
          <w:bCs/>
        </w:rPr>
        <w:t>В рамках муниципальной программы «Развитие физической культуры и спорта в муниципальном образовании Октябрьский район», утвержденной постановлением администрации Октябрьского района от 06.12.2024 №1893 на основании соглашений №9 от 26.03.2025, №20 от 14.10.2025 поселению предоставлены ИМБТ в сумме 197,1 тыс. руб., в том числе на:</w:t>
      </w:r>
    </w:p>
    <w:p>
      <w:pPr>
        <w:pStyle w:val="Normal"/>
        <w:ind w:firstLine="708"/>
        <w:jc w:val="both"/>
        <w:rPr/>
      </w:pPr>
      <w:r>
        <w:rPr/>
        <w:t>- участие в соревнованиях по каратэ – 123,5 тыс. руб.;</w:t>
      </w:r>
    </w:p>
    <w:p>
      <w:pPr>
        <w:pStyle w:val="Normal"/>
        <w:ind w:firstLine="708"/>
        <w:jc w:val="both"/>
        <w:rPr/>
      </w:pPr>
      <w:r>
        <w:rPr/>
        <w:t>- участие в соревнованиях по вольной борьбе – 73,6 тыс. руб.</w:t>
      </w:r>
    </w:p>
    <w:p>
      <w:pPr>
        <w:pStyle w:val="Normal"/>
        <w:ind w:firstLine="708"/>
        <w:jc w:val="both"/>
        <w:rPr>
          <w:bCs/>
        </w:rPr>
      </w:pPr>
      <w:r>
        <w:rPr>
          <w:bCs/>
        </w:rPr>
        <w:t>Приложением №3 к соглашениям утверждена форма отчета о достижении значений показателей результативности использования средств, в котором должно быть указано плановое значение показателя, достигнутое значение показателя, процент выполнения, при этом, плановое значение показателя результатов предоставления ИМБТ соглашением не установлено.</w:t>
      </w:r>
    </w:p>
    <w:p>
      <w:pPr>
        <w:pStyle w:val="Normal"/>
        <w:ind w:firstLine="709"/>
        <w:jc w:val="both"/>
        <w:rPr>
          <w:bCs/>
        </w:rPr>
      </w:pPr>
      <w:r>
        <w:rPr>
          <w:bCs/>
        </w:rPr>
        <w:t xml:space="preserve">Решением о бюджете расходы в сумме 197,1 тыс. руб. утверждены по КБК 1101 4100089041 612 241.   </w:t>
      </w:r>
    </w:p>
    <w:p>
      <w:pPr>
        <w:pStyle w:val="Normal"/>
        <w:ind w:firstLine="708"/>
        <w:jc w:val="both"/>
        <w:rPr/>
      </w:pPr>
      <w:r>
        <w:rPr/>
        <w:t>На основании соглашений от 31.03.2025 №2, от 16.10.2025 №5 подведомственному учреждению предоставлена субсидия на иные цели.</w:t>
      </w:r>
    </w:p>
    <w:p>
      <w:pPr>
        <w:pStyle w:val="Normal"/>
        <w:ind w:firstLine="708"/>
        <w:jc w:val="both"/>
        <w:rPr>
          <w:bCs/>
        </w:rPr>
      </w:pPr>
      <w:r>
        <w:rPr>
          <w:b/>
        </w:rPr>
        <w:t>В нарушение</w:t>
      </w:r>
      <w:r>
        <w:rPr/>
        <w:t xml:space="preserve"> </w:t>
      </w:r>
      <w:r>
        <w:rPr>
          <w:b/>
          <w:bCs/>
        </w:rPr>
        <w:t>ст. 28, ст. 38 БК РФ</w:t>
      </w:r>
      <w:r>
        <w:rPr>
          <w:bCs/>
        </w:rPr>
        <w:t xml:space="preserve"> в соглашениях </w:t>
      </w:r>
      <w:r>
        <w:rPr/>
        <w:t xml:space="preserve">о предоставлении субсидии на иные цели </w:t>
      </w:r>
      <w:r>
        <w:rPr>
          <w:bCs/>
        </w:rPr>
        <w:t xml:space="preserve">указана обобщенная формулировка цели предоставления средств, направления расходования средств соглашениями не установлены. </w:t>
      </w:r>
    </w:p>
    <w:p>
      <w:pPr>
        <w:pStyle w:val="Normal"/>
        <w:ind w:firstLine="708"/>
        <w:jc w:val="both"/>
        <w:rPr>
          <w:bCs/>
        </w:rPr>
      </w:pPr>
      <w:r>
        <w:rPr>
          <w:bCs/>
        </w:rPr>
      </w:r>
    </w:p>
    <w:p>
      <w:pPr>
        <w:pStyle w:val="Normal"/>
        <w:ind w:firstLine="708"/>
        <w:jc w:val="both"/>
        <w:rPr>
          <w:bCs/>
        </w:rPr>
      </w:pPr>
      <w:r>
        <w:rPr>
          <w:bCs/>
        </w:rPr>
        <w:t>17). В рамках основного мероприятия «Реализация мероприятий в рамках дорожной деятельности муниципальной программы «Современная транспортная система в муниципальном образовании Октябрьский район», утвержденной постановлением администрации Октябрьского района от 06.12.2024 №1915, на основании соглашения от 13.02.2025 №25/25 в ред. от 19.05.2025 поселению передана субсидия в сумме 48 312,0 тыс. руб., в том числе: за счет средств бюджета округа – 45 896,4 тыс. руб., за счет средств бюджета района – 2 415,6 тыс. руб. на капитальный ремонт участков автомобильных дорог по:</w:t>
      </w:r>
    </w:p>
    <w:p>
      <w:pPr>
        <w:pStyle w:val="Normal"/>
        <w:ind w:firstLine="708"/>
        <w:jc w:val="both"/>
        <w:rPr>
          <w:bCs/>
        </w:rPr>
      </w:pPr>
      <w:r>
        <w:rPr>
          <w:bCs/>
        </w:rPr>
        <w:t>- ул. Муравленко (1 этап, 180м) – 8 853,9 тыс. руб., ул. Муравленко (2 этап, 180м) – 6 315,5 тыс. руб.;</w:t>
      </w:r>
    </w:p>
    <w:p>
      <w:pPr>
        <w:pStyle w:val="Normal"/>
        <w:ind w:firstLine="708"/>
        <w:jc w:val="both"/>
        <w:rPr>
          <w:bCs/>
        </w:rPr>
      </w:pPr>
      <w:r>
        <w:rPr>
          <w:bCs/>
        </w:rPr>
        <w:t>- ул. Молодежная (1 этап, 275м) – 9 446,7 тыс. руб.;</w:t>
      </w:r>
    </w:p>
    <w:p>
      <w:pPr>
        <w:pStyle w:val="Normal"/>
        <w:ind w:firstLine="708"/>
        <w:jc w:val="both"/>
        <w:rPr>
          <w:bCs/>
        </w:rPr>
      </w:pPr>
      <w:r>
        <w:rPr>
          <w:bCs/>
        </w:rPr>
        <w:t>- ул. Нефтяников (1 этап, 170м) – 9 006,0 тыс. руб., ул. Нефтяников (2 этап, 170м) – 8 842,5 тыс. руб., ул. Нефтяников (3 этап, 95м) – 5 847,5 тыс. руб.</w:t>
      </w:r>
    </w:p>
    <w:p>
      <w:pPr>
        <w:pStyle w:val="Normal"/>
        <w:ind w:firstLine="708"/>
        <w:jc w:val="both"/>
        <w:rPr>
          <w:bCs/>
        </w:rPr>
      </w:pPr>
      <w:r>
        <w:rPr>
          <w:bCs/>
        </w:rPr>
        <w:t>Решением о бюджете, бюджетной росписью поселения расходы на реализацию мероприятия утверждены по КБК:</w:t>
      </w:r>
    </w:p>
    <w:p>
      <w:pPr>
        <w:pStyle w:val="Normal"/>
        <w:ind w:firstLine="708"/>
        <w:jc w:val="both"/>
        <w:rPr>
          <w:bCs/>
        </w:rPr>
      </w:pPr>
      <w:r>
        <w:rPr>
          <w:bCs/>
        </w:rPr>
        <w:t>- 0409 020039Д040 243 225 в сумме 45 896,4 тыс. руб.;</w:t>
      </w:r>
    </w:p>
    <w:p>
      <w:pPr>
        <w:pStyle w:val="Normal"/>
        <w:ind w:firstLine="708"/>
        <w:jc w:val="both"/>
        <w:rPr>
          <w:bCs/>
        </w:rPr>
      </w:pPr>
      <w:r>
        <w:rPr>
          <w:bCs/>
        </w:rPr>
        <w:t>- 0409 02003SД040 243 225 в сумме 2 415,6 тыс. руб.</w:t>
      </w:r>
    </w:p>
    <w:p>
      <w:pPr>
        <w:pStyle w:val="Normal"/>
        <w:ind w:firstLine="708"/>
        <w:jc w:val="both"/>
        <w:rPr>
          <w:bCs/>
        </w:rPr>
      </w:pPr>
      <w:r>
        <w:rPr>
          <w:bCs/>
        </w:rPr>
        <w:t xml:space="preserve">Исполнение составило 100,0%. </w:t>
      </w:r>
    </w:p>
    <w:p>
      <w:pPr>
        <w:pStyle w:val="Normal"/>
        <w:ind w:firstLine="708"/>
        <w:jc w:val="both"/>
        <w:rPr>
          <w:bCs/>
        </w:rPr>
      </w:pPr>
      <w:r>
        <w:rPr>
          <w:bCs/>
        </w:rPr>
        <w:t>Администрацией поселения заключены муниципальные контракты:</w:t>
      </w:r>
    </w:p>
    <w:p>
      <w:pPr>
        <w:pStyle w:val="Normal"/>
        <w:tabs>
          <w:tab w:val="clear" w:pos="708"/>
          <w:tab w:val="left" w:pos="2895" w:leader="none"/>
        </w:tabs>
        <w:ind w:firstLine="708"/>
        <w:jc w:val="both"/>
        <w:rPr>
          <w:bCs/>
        </w:rPr>
      </w:pPr>
      <w:r>
        <w:rPr>
          <w:bCs/>
        </w:rPr>
        <w:t>- №0187300015425000006 от 14.04.2025 с ИП Елин Е.В. на капитальный ремонт автомобильной дороги по ул. Молодежная, 1 этап, 275м на сумму 9 446,7 тыс. руб.;</w:t>
      </w:r>
    </w:p>
    <w:p>
      <w:pPr>
        <w:pStyle w:val="Normal"/>
        <w:tabs>
          <w:tab w:val="clear" w:pos="708"/>
          <w:tab w:val="left" w:pos="2895" w:leader="none"/>
        </w:tabs>
        <w:ind w:firstLine="708"/>
        <w:jc w:val="both"/>
        <w:rPr>
          <w:bCs/>
        </w:rPr>
      </w:pPr>
      <w:r>
        <w:rPr>
          <w:bCs/>
        </w:rPr>
        <w:t>- №0187300015425000008 от 14.04.2025 с ИП Елин Е.В. на капитальный ремонт автомобильной дороги по ул. Нефтяников, 1 этап, 170м на сумму 9 006,0 тыс. руб.;</w:t>
      </w:r>
    </w:p>
    <w:p>
      <w:pPr>
        <w:pStyle w:val="Normal"/>
        <w:tabs>
          <w:tab w:val="clear" w:pos="708"/>
          <w:tab w:val="left" w:pos="2895" w:leader="none"/>
        </w:tabs>
        <w:ind w:firstLine="708"/>
        <w:jc w:val="both"/>
        <w:rPr>
          <w:bCs/>
        </w:rPr>
      </w:pPr>
      <w:r>
        <w:rPr>
          <w:bCs/>
        </w:rPr>
        <w:t>- №0187300015425000007 от 14.04.2025 с ИП Елин Е.В. на капитальный ремонт автомобильной дороги по ул. Нефтяников, 2 этап, 170м на сумму 8 842,5 тыс. руб.;</w:t>
      </w:r>
    </w:p>
    <w:p>
      <w:pPr>
        <w:pStyle w:val="Normal"/>
        <w:tabs>
          <w:tab w:val="clear" w:pos="708"/>
          <w:tab w:val="left" w:pos="2895" w:leader="none"/>
        </w:tabs>
        <w:ind w:firstLine="708"/>
        <w:jc w:val="both"/>
        <w:rPr>
          <w:bCs/>
        </w:rPr>
      </w:pPr>
      <w:r>
        <w:rPr>
          <w:bCs/>
        </w:rPr>
        <w:t>- №0187300015425000009 от 15.04.2025 с ИП Елин Е.В. на капитальный ремонт автомобильной дороги по ул. Нефтяников, 3 этап, 95м на сумму 5 847,5 тыс. руб.;</w:t>
      </w:r>
    </w:p>
    <w:p>
      <w:pPr>
        <w:pStyle w:val="Normal"/>
        <w:tabs>
          <w:tab w:val="clear" w:pos="708"/>
          <w:tab w:val="left" w:pos="2895" w:leader="none"/>
        </w:tabs>
        <w:ind w:firstLine="708"/>
        <w:jc w:val="both"/>
        <w:rPr>
          <w:bCs/>
        </w:rPr>
      </w:pPr>
      <w:r>
        <w:rPr>
          <w:bCs/>
        </w:rPr>
        <w:t>- №01873000154250000010 от 14.04.2025 с ИП Елин Е.В. на капитальный ремонт автомобильной дороги по ул. Муравленко, 1 этап, 180м на сумму 8 853,9 тыс. руб.;</w:t>
      </w:r>
    </w:p>
    <w:p>
      <w:pPr>
        <w:pStyle w:val="Normal"/>
        <w:tabs>
          <w:tab w:val="clear" w:pos="708"/>
          <w:tab w:val="left" w:pos="2895" w:leader="none"/>
        </w:tabs>
        <w:ind w:firstLine="708"/>
        <w:jc w:val="both"/>
        <w:rPr>
          <w:bCs/>
        </w:rPr>
      </w:pPr>
      <w:r>
        <w:rPr>
          <w:bCs/>
        </w:rPr>
        <w:t>- №01873000154250000011 от 18.04.2025 с ИП Елин Е.В. на капитальный ремонт автомобильной дороги по ул. Муравленко, 2 этап, 180м на сумму 6 315,5 тыс. руб.</w:t>
      </w:r>
    </w:p>
    <w:p>
      <w:pPr>
        <w:pStyle w:val="Normal"/>
        <w:tabs>
          <w:tab w:val="clear" w:pos="708"/>
          <w:tab w:val="left" w:pos="2895" w:leader="none"/>
        </w:tabs>
        <w:ind w:firstLine="708"/>
        <w:jc w:val="both"/>
        <w:rPr>
          <w:bCs/>
        </w:rPr>
      </w:pPr>
      <w:r>
        <w:rPr>
          <w:bCs/>
        </w:rPr>
        <w:t>Расходы на оплату контрактов на сумму 48 312,0 тыс. руб. приняты к бухгалтерскому учету и оплачены за счет средств бюджета автономного округа и средств бюджета района по соответствующим КБК.</w:t>
      </w:r>
    </w:p>
    <w:p>
      <w:pPr>
        <w:pStyle w:val="Normal"/>
        <w:tabs>
          <w:tab w:val="clear" w:pos="708"/>
          <w:tab w:val="left" w:pos="2895" w:leader="none"/>
        </w:tabs>
        <w:ind w:firstLine="708"/>
        <w:jc w:val="both"/>
        <w:rPr>
          <w:bCs/>
        </w:rPr>
      </w:pPr>
      <w:r>
        <w:rPr>
          <w:bCs/>
        </w:rPr>
        <w:t>При этом, необходимо отметить, что по всем муниципальным контрактом после даты окончания работ заключены дополнительные соглашения об увеличении стоимости работ на общую сумму 4 234,5 тыс. руб., а также договор №63 от 20.06.2025 с ИП Елин Е.В. на выполнение работ по капитальному ремонту дороги по ул. Молодежная на сумму 56,6 тыс. руб., дополнительные расходы приняты к бухгалтерскому учету и оплачены за счет средств поселения. Общая сумма расходов на ремонт вышеуказанных участков дорог общей протяженностью 1,07 км составила 52 603,4 тыс. руб.</w:t>
      </w:r>
    </w:p>
    <w:p>
      <w:pPr>
        <w:pStyle w:val="Normal"/>
        <w:tabs>
          <w:tab w:val="clear" w:pos="708"/>
          <w:tab w:val="left" w:pos="2895" w:leader="none"/>
        </w:tabs>
        <w:ind w:firstLine="708"/>
        <w:jc w:val="both"/>
        <w:rPr>
          <w:bCs/>
        </w:rPr>
      </w:pPr>
      <w:r>
        <w:rPr>
          <w:bCs/>
        </w:rPr>
        <w:t>Проверить обоснованность, правомерность и эффективность расходования бюджетных средств в рамках внешней проверки годового отчета, годовой бюджетной отчетности не представляется возможным.</w:t>
      </w:r>
    </w:p>
    <w:p>
      <w:pPr>
        <w:pStyle w:val="Normal"/>
        <w:ind w:firstLine="709"/>
        <w:jc w:val="both"/>
        <w:rPr>
          <w:bCs/>
        </w:rPr>
      </w:pPr>
      <w:r>
        <w:rPr>
          <w:bCs/>
        </w:rPr>
      </w:r>
    </w:p>
    <w:p>
      <w:pPr>
        <w:pStyle w:val="Normal"/>
        <w:ind w:firstLine="709"/>
        <w:jc w:val="both"/>
        <w:rPr>
          <w:bCs/>
        </w:rPr>
      </w:pPr>
      <w:r>
        <w:rPr>
          <w:bCs/>
        </w:rPr>
        <w:t>18). На основании соглашения от 30.04.2025 №11 в бюджет поселения поступили ИМБТ на финансирование мероприятий по наказам избирателей депутатам Думы ХМАО-Югры в сумме 194,4 тыс. руб. на приобретение заградительной сетки для универсальной спортивной площадки.</w:t>
      </w:r>
    </w:p>
    <w:p>
      <w:pPr>
        <w:pStyle w:val="Normal"/>
        <w:ind w:firstLine="709"/>
        <w:jc w:val="both"/>
        <w:rPr>
          <w:bCs/>
        </w:rPr>
      </w:pPr>
      <w:r>
        <w:rPr>
          <w:bCs/>
        </w:rPr>
        <w:t>Решением о бюджете расходы в сумме 194,4 тыс. руб. утверждены по КБК 1103 4120085160 244 346.</w:t>
      </w:r>
    </w:p>
    <w:p>
      <w:pPr>
        <w:pStyle w:val="Normal"/>
        <w:ind w:firstLine="709"/>
        <w:jc w:val="both"/>
        <w:rPr>
          <w:bCs/>
        </w:rPr>
      </w:pPr>
      <w:r>
        <w:rPr>
          <w:bCs/>
        </w:rPr>
        <w:t>Администрацией поселения заключен договор №59 от 27.05.2025 на поставку заградительной сетки, троса, шнура на сумму 196,7 тыс. руб.</w:t>
      </w:r>
    </w:p>
    <w:p>
      <w:pPr>
        <w:pStyle w:val="Normal"/>
        <w:ind w:firstLine="709"/>
        <w:jc w:val="both"/>
        <w:rPr>
          <w:bCs/>
        </w:rPr>
      </w:pPr>
      <w:r>
        <w:rPr>
          <w:bCs/>
        </w:rPr>
        <w:t>По данным журнала №4 расходы на сумму 194,4 тыс. руб. отражены по счету</w:t>
      </w:r>
      <w:r>
        <w:rPr/>
        <w:t xml:space="preserve"> </w:t>
      </w:r>
      <w:r>
        <w:rPr>
          <w:bCs/>
        </w:rPr>
        <w:t xml:space="preserve">11034120085160244.1.105.36.346, расходы на сумму 2,3 тыс. руб. – за счет средств поселения по счету 11034010099990244.1.105.36.346. </w:t>
      </w:r>
    </w:p>
    <w:p>
      <w:pPr>
        <w:pStyle w:val="Normal"/>
        <w:tabs>
          <w:tab w:val="clear" w:pos="708"/>
          <w:tab w:val="left" w:pos="709" w:leader="none"/>
        </w:tabs>
        <w:ind w:firstLine="708"/>
        <w:jc w:val="both"/>
        <w:rPr>
          <w:bCs/>
        </w:rPr>
      </w:pPr>
      <w:r>
        <w:rPr>
          <w:bCs/>
        </w:rPr>
        <w:t>В соответствии с п. 18.2.11. Приказа №82н:</w:t>
      </w:r>
    </w:p>
    <w:p>
      <w:pPr>
        <w:pStyle w:val="Normal"/>
        <w:tabs>
          <w:tab w:val="clear" w:pos="708"/>
          <w:tab w:val="left" w:pos="709" w:leader="none"/>
        </w:tabs>
        <w:ind w:firstLine="708"/>
        <w:jc w:val="both"/>
        <w:rPr>
          <w:bCs/>
        </w:rPr>
      </w:pPr>
      <w:r>
        <w:rPr>
          <w:bCs/>
        </w:rPr>
        <w:t xml:space="preserve">- по подразделу 1103 «Спорт высших достижений» классификации расходов бюджетов подлежат отражению расходы на обеспечение деятельности учреждений в сфере спорта высших достижений, содержание сборных команд, подготовку и участие в международных, всероссийских и иных спортивных мероприятиях, реализацию дополнительных образовательных программ спортивной подготовки, а также государственную поддержку развития спорта высших достижений в субъектах Российской Федерации и муниципальных образованиях; </w:t>
      </w:r>
    </w:p>
    <w:p>
      <w:pPr>
        <w:pStyle w:val="Normal"/>
        <w:tabs>
          <w:tab w:val="clear" w:pos="708"/>
          <w:tab w:val="left" w:pos="709" w:leader="none"/>
        </w:tabs>
        <w:ind w:firstLine="708"/>
        <w:jc w:val="both"/>
        <w:rPr>
          <w:bCs/>
        </w:rPr>
      </w:pPr>
      <w:r>
        <w:rPr>
          <w:bCs/>
        </w:rPr>
        <w:t>- расходы на проведение массовых спортивных мероприятий, а также государственную поддержку развития массового спорта в субъектах Российской Федерации и муниципальных образованиях подлежат отражению по подразделу 1102 «Массовый спорт»;</w:t>
      </w:r>
    </w:p>
    <w:p>
      <w:pPr>
        <w:pStyle w:val="Normal"/>
        <w:tabs>
          <w:tab w:val="clear" w:pos="708"/>
          <w:tab w:val="left" w:pos="709" w:leader="none"/>
        </w:tabs>
        <w:ind w:firstLine="708"/>
        <w:jc w:val="both"/>
        <w:rPr>
          <w:bCs/>
        </w:rPr>
      </w:pPr>
      <w:r>
        <w:rPr>
          <w:bCs/>
        </w:rPr>
        <w:t>- расходы на обеспечение деятельности учреждений в области физической культуры и спорта, школьных спортивных клубов, не являющихся юридическими лицами, созданных образовательными организациями, проведение физкультурных мероприятий, а также государственную поддержку развития физической культуры в субъектах Российской Федерации и муниципальных образованиях подлежат отражению по подразделу «1101 «Физическая культура».</w:t>
      </w:r>
    </w:p>
    <w:p>
      <w:pPr>
        <w:pStyle w:val="Normal"/>
        <w:ind w:firstLine="708"/>
        <w:jc w:val="both"/>
        <w:rPr>
          <w:b/>
          <w:bCs/>
        </w:rPr>
      </w:pPr>
      <w:r>
        <w:rPr>
          <w:b/>
          <w:bCs/>
        </w:rPr>
        <w:t>Нарушение порядка применения кодов бюджетной классификации, бухгалтерского учета составило 196,7 тыс. руб.</w:t>
      </w:r>
    </w:p>
    <w:p>
      <w:pPr>
        <w:pStyle w:val="Normal"/>
        <w:tabs>
          <w:tab w:val="clear" w:pos="708"/>
          <w:tab w:val="left" w:pos="709" w:leader="none"/>
        </w:tabs>
        <w:ind w:firstLine="708"/>
        <w:jc w:val="both"/>
        <w:rPr>
          <w:bCs/>
        </w:rPr>
      </w:pPr>
      <w:r>
        <w:rPr>
          <w:bCs/>
        </w:rPr>
      </w:r>
    </w:p>
    <w:p>
      <w:pPr>
        <w:pStyle w:val="Normal"/>
        <w:tabs>
          <w:tab w:val="clear" w:pos="708"/>
          <w:tab w:val="left" w:pos="709" w:leader="none"/>
        </w:tabs>
        <w:ind w:firstLine="708"/>
        <w:jc w:val="both"/>
        <w:rPr/>
      </w:pPr>
      <w:r>
        <w:rPr>
          <w:bCs/>
        </w:rPr>
        <w:t xml:space="preserve">19). В соответствии со ст. 179 БК РФ </w:t>
      </w:r>
      <w:r>
        <w:rPr/>
        <w:t xml:space="preserve">муниципальные программы утверждаются местной администрацией муниципального образования. 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утвердившим программу муниципальным правовым актом местной администрации муниципального образования.  </w:t>
      </w:r>
    </w:p>
    <w:p>
      <w:pPr>
        <w:pStyle w:val="Normal"/>
        <w:tabs>
          <w:tab w:val="clear" w:pos="708"/>
          <w:tab w:val="left" w:pos="709" w:leader="none"/>
        </w:tabs>
        <w:ind w:firstLine="708"/>
        <w:jc w:val="both"/>
        <w:rPr>
          <w:bCs/>
        </w:rPr>
      </w:pPr>
      <w:r>
        <w:rPr>
          <w:bCs/>
        </w:rPr>
        <w:t>В соответствии с п. 1.3., п. 2.5.3 постановления администрации городского поселения Талинка от 26.05.2020 №140 (в ред. от 31.07.2024 №204) «Об утверждении Порядка принятия решений о разработке, формировании и реализации муниципальных программ в городском поселении Талинка» (далее – Порядок разработки программ):</w:t>
      </w:r>
    </w:p>
    <w:p>
      <w:pPr>
        <w:pStyle w:val="Normal"/>
        <w:tabs>
          <w:tab w:val="clear" w:pos="708"/>
          <w:tab w:val="left" w:pos="709" w:leader="none"/>
        </w:tabs>
        <w:ind w:firstLine="708"/>
        <w:jc w:val="both"/>
        <w:rPr>
          <w:bCs/>
        </w:rPr>
      </w:pPr>
      <w:r>
        <w:rPr>
          <w:bCs/>
        </w:rPr>
        <w:t>- формирование муниципальных программ осуществляется исходя из установленных принципов, в числе которых: принцип сбалансированности – согласованность и сбалансированность муниципальных программ по приоритетам, целям, задачам, мероприятиям, показателям, финансовым и иным ресурсам и срокам реализации; принцип ресурсной обеспеченности – при формировании проектов муниципальных программ должны быть определены источники ресурсного обеспечения их мероприятий, программно-целевой принцип – определение приоритетов и целей социально-экономического развития, разработку взаимоувязанных по целям, срокам реализации муниципальных программ и определение объемов и источников их финансирования;</w:t>
      </w:r>
    </w:p>
    <w:p>
      <w:pPr>
        <w:pStyle w:val="Normal"/>
        <w:tabs>
          <w:tab w:val="clear" w:pos="708"/>
          <w:tab w:val="left" w:pos="709" w:leader="none"/>
        </w:tabs>
        <w:ind w:firstLine="708"/>
        <w:jc w:val="both"/>
        <w:rPr>
          <w:bCs/>
        </w:rPr>
      </w:pPr>
      <w:r>
        <w:rPr>
          <w:bCs/>
        </w:rPr>
        <w:t xml:space="preserve">- внесение изменений в действующую муниципальную программу, связанных с изменениями общего объема финансирования мероприятий программы в текущем финансовом году осуществляется в течение 30 календарных дней со дня принятия решения о внесении изменений в сводную бюджетную роспись, со дня внесения изменений в бюджет муниципального образования городское поселение Талинка на основании решения Совета депутатов городского поселения Талинка о бюджете поселения  на очередной финансовый год и плановый период, но не позднее 29 декабря текущего финансового года. </w:t>
      </w:r>
    </w:p>
    <w:p>
      <w:pPr>
        <w:pStyle w:val="Normal"/>
        <w:tabs>
          <w:tab w:val="clear" w:pos="708"/>
          <w:tab w:val="left" w:pos="709" w:leader="none"/>
        </w:tabs>
        <w:ind w:firstLine="708"/>
        <w:jc w:val="both"/>
        <w:rPr>
          <w:bCs/>
        </w:rPr>
      </w:pPr>
      <w:r>
        <w:rPr>
          <w:bCs/>
        </w:rPr>
      </w:r>
    </w:p>
    <w:p>
      <w:pPr>
        <w:pStyle w:val="Normal"/>
        <w:tabs>
          <w:tab w:val="clear" w:pos="708"/>
          <w:tab w:val="left" w:pos="709" w:leader="none"/>
        </w:tabs>
        <w:ind w:firstLine="708"/>
        <w:jc w:val="both"/>
        <w:rPr>
          <w:bCs/>
        </w:rPr>
      </w:pPr>
      <w:r>
        <w:rPr>
          <w:bCs/>
        </w:rPr>
        <w:t>19.1). Постановлением администрации от 20.06.2023 года №158 в ред. от 09.06.2025 №153 утверждена муниципальная программа «Инициативные проекты городского поселения Талинка на 2023-2025 годы» (далее – Постановление №158).</w:t>
      </w:r>
    </w:p>
    <w:p>
      <w:pPr>
        <w:pStyle w:val="Normal"/>
        <w:tabs>
          <w:tab w:val="clear" w:pos="708"/>
          <w:tab w:val="left" w:pos="709" w:leader="none"/>
        </w:tabs>
        <w:ind w:firstLine="708"/>
        <w:jc w:val="both"/>
        <w:rPr>
          <w:bCs/>
        </w:rPr>
      </w:pPr>
      <w:r>
        <w:rPr>
          <w:bCs/>
        </w:rPr>
        <w:t>Согласно положениям раздела 2 Постановления №153 механизм реализации муниципальной программы включает:</w:t>
      </w:r>
    </w:p>
    <w:p>
      <w:pPr>
        <w:pStyle w:val="Normal"/>
        <w:tabs>
          <w:tab w:val="clear" w:pos="708"/>
          <w:tab w:val="left" w:pos="709" w:leader="none"/>
        </w:tabs>
        <w:ind w:firstLine="708"/>
        <w:jc w:val="both"/>
        <w:rPr>
          <w:bCs/>
        </w:rPr>
      </w:pPr>
      <w:r>
        <w:rPr>
          <w:bCs/>
        </w:rPr>
        <w:t>- формирование (уточнение) основных мероприятий с уточнением затрат по проектам;</w:t>
      </w:r>
    </w:p>
    <w:p>
      <w:pPr>
        <w:pStyle w:val="Normal"/>
        <w:tabs>
          <w:tab w:val="clear" w:pos="708"/>
          <w:tab w:val="left" w:pos="709" w:leader="none"/>
        </w:tabs>
        <w:ind w:firstLine="708"/>
        <w:jc w:val="both"/>
        <w:rPr>
          <w:bCs/>
        </w:rPr>
      </w:pPr>
      <w:r>
        <w:rPr>
          <w:bCs/>
        </w:rPr>
        <w:t>- заключение муниципальных контрактов на закупку товаров, услуг, работ для муниципальных нужд в порядке, установленном законодательством Российской Федерации;</w:t>
      </w:r>
    </w:p>
    <w:p>
      <w:pPr>
        <w:pStyle w:val="Normal"/>
        <w:tabs>
          <w:tab w:val="clear" w:pos="708"/>
          <w:tab w:val="left" w:pos="709" w:leader="none"/>
        </w:tabs>
        <w:ind w:firstLine="708"/>
        <w:jc w:val="both"/>
        <w:rPr>
          <w:bCs/>
        </w:rPr>
      </w:pPr>
      <w:r>
        <w:rPr>
          <w:bCs/>
        </w:rPr>
        <w:t>- разработку и принятие муниципальных правовых актов и иных документов, необходимых для выполнения муниципальной программы.</w:t>
      </w:r>
    </w:p>
    <w:p>
      <w:pPr>
        <w:pStyle w:val="Normal"/>
        <w:tabs>
          <w:tab w:val="clear" w:pos="708"/>
          <w:tab w:val="left" w:pos="709" w:leader="none"/>
        </w:tabs>
        <w:ind w:firstLine="708"/>
        <w:jc w:val="both"/>
        <w:rPr>
          <w:bCs/>
        </w:rPr>
      </w:pPr>
      <w:r>
        <w:rPr>
          <w:bCs/>
        </w:rPr>
        <w:t>Объем финансирования программы на 2025 год в сумме 1 524,7 тыс. руб. соответствует Решению о бюджете и соглашению о предоставлении субсидии на реализацию инициативных проектов от 16.06.2025, при этом, администрацией поселения заключены:</w:t>
      </w:r>
    </w:p>
    <w:p>
      <w:pPr>
        <w:pStyle w:val="Normal"/>
        <w:ind w:firstLine="708"/>
        <w:jc w:val="both"/>
        <w:rPr>
          <w:bCs/>
        </w:rPr>
      </w:pPr>
      <w:r>
        <w:rPr>
          <w:bCs/>
        </w:rPr>
        <w:t>- муниципальный контракт №0187300015425000021 от 29.08.2025 с ООО «Мурзак Групп» на поставку и монтаж оборудования для площадки для выгула собак на сумму 1 255,3 тыс. руб.;</w:t>
      </w:r>
    </w:p>
    <w:p>
      <w:pPr>
        <w:pStyle w:val="Normal"/>
        <w:ind w:firstLine="708"/>
        <w:jc w:val="both"/>
        <w:rPr>
          <w:bCs/>
        </w:rPr>
      </w:pPr>
      <w:r>
        <w:rPr>
          <w:bCs/>
        </w:rPr>
        <w:t>- договор №85 от 25.09.2025 с ООО «Мурзак Групп» на поставку и монтаж наружного освещения на сумму 216,0 тыс. руб.;</w:t>
      </w:r>
    </w:p>
    <w:p>
      <w:pPr>
        <w:pStyle w:val="Normal"/>
        <w:ind w:firstLine="708"/>
        <w:jc w:val="both"/>
        <w:rPr>
          <w:bCs/>
        </w:rPr>
      </w:pPr>
      <w:r>
        <w:rPr>
          <w:bCs/>
        </w:rPr>
        <w:t>- договор №92 от 23.10.2025 с ООО «Паритет Системы Безопасности» на поставку и монтаж оборудования системы видеонаблюдения для площадки для выгула и дрессировки собак» на сумму 119,1 тыс. руб.</w:t>
      </w:r>
    </w:p>
    <w:p>
      <w:pPr>
        <w:pStyle w:val="Normal"/>
        <w:ind w:firstLine="708"/>
        <w:jc w:val="both"/>
        <w:rPr>
          <w:bCs/>
        </w:rPr>
      </w:pPr>
      <w:r>
        <w:rPr>
          <w:bCs/>
        </w:rPr>
        <w:t>Таким образом общий объем бюджетных средств на реализацию инициативного проекта составил 1 590,4 тыс. руб.</w:t>
      </w:r>
    </w:p>
    <w:p>
      <w:pPr>
        <w:pStyle w:val="Normal"/>
        <w:ind w:firstLine="708"/>
        <w:jc w:val="both"/>
        <w:rPr>
          <w:bCs/>
        </w:rPr>
      </w:pPr>
      <w:r>
        <w:rPr>
          <w:bCs/>
        </w:rPr>
        <w:t>В соответствии с положениями ст. 179 БК РФ, с Распоряжением №244 расходы на реализацию инициативных проектов подлежат отражению по целевой статье – 0300000000.</w:t>
      </w:r>
    </w:p>
    <w:p>
      <w:pPr>
        <w:pStyle w:val="Normal"/>
        <w:ind w:firstLine="708"/>
        <w:jc w:val="both"/>
        <w:rPr>
          <w:bCs/>
        </w:rPr>
      </w:pPr>
      <w:r>
        <w:rPr>
          <w:bCs/>
        </w:rPr>
        <w:t>По данным журнала №4:</w:t>
      </w:r>
    </w:p>
    <w:p>
      <w:pPr>
        <w:pStyle w:val="Normal"/>
        <w:ind w:firstLine="708"/>
        <w:jc w:val="both"/>
        <w:rPr>
          <w:bCs/>
        </w:rPr>
      </w:pPr>
      <w:r>
        <w:rPr>
          <w:bCs/>
        </w:rPr>
        <w:t>- расходы на сумму 1 524,7 тыс. руб. отражены по соответствующей целевой статье – 030000000;</w:t>
      </w:r>
    </w:p>
    <w:p>
      <w:pPr>
        <w:pStyle w:val="Normal"/>
        <w:ind w:firstLine="708"/>
        <w:jc w:val="both"/>
        <w:rPr>
          <w:bCs/>
        </w:rPr>
      </w:pPr>
      <w:r>
        <w:rPr>
          <w:bCs/>
        </w:rPr>
        <w:t>- часть расходов на оплату договора №92 в сумме 65,8 тыс. руб. отражена по счету 05034060099990244.1.106.52.310, то есть по целевой статье 4060099990 как расходы на реализацию мероприятий в рамках непрограммного направления деятельности.</w:t>
      </w:r>
    </w:p>
    <w:p>
      <w:pPr>
        <w:pStyle w:val="Normal"/>
        <w:ind w:firstLine="708"/>
        <w:jc w:val="both"/>
        <w:rPr>
          <w:bCs/>
        </w:rPr>
      </w:pPr>
      <w:r>
        <w:rPr>
          <w:b/>
          <w:bCs/>
        </w:rPr>
        <w:t>В нарушение ст. 179 БК РФ, Порядка разработки программ</w:t>
      </w:r>
      <w:r>
        <w:rPr>
          <w:bCs/>
        </w:rPr>
        <w:t>, Постановления №153 администрацией поселения не приняты меры по уточнению объемов финансирования мероприятий программы, по внесению соответствующих изменений в муниципальные правовые акты.</w:t>
      </w:r>
    </w:p>
    <w:p>
      <w:pPr>
        <w:pStyle w:val="Normal"/>
        <w:ind w:firstLine="708"/>
        <w:jc w:val="both"/>
        <w:rPr>
          <w:b/>
          <w:bCs/>
        </w:rPr>
      </w:pPr>
      <w:r>
        <w:rPr>
          <w:b/>
          <w:bCs/>
        </w:rPr>
        <w:t>Нарушение порядка применения кодов бюджетной классификации, бухгалтерского учета составило 65,8 тыс. руб.</w:t>
      </w:r>
    </w:p>
    <w:p>
      <w:pPr>
        <w:pStyle w:val="Normal"/>
        <w:ind w:firstLine="708"/>
        <w:jc w:val="both"/>
        <w:rPr>
          <w:bCs/>
        </w:rPr>
      </w:pPr>
      <w:r>
        <w:rPr>
          <w:bCs/>
        </w:rPr>
      </w:r>
    </w:p>
    <w:p>
      <w:pPr>
        <w:pStyle w:val="Normal"/>
        <w:ind w:firstLine="708"/>
        <w:jc w:val="both"/>
        <w:rPr>
          <w:bCs/>
        </w:rPr>
      </w:pPr>
      <w:r>
        <w:rPr>
          <w:bCs/>
        </w:rPr>
        <w:t>19.2). Постановлением от 14.04.2025 №86 утверждена муниципальная программа «Содержание мест захоронения, расположенных на территории муниципального образования городское поселение Талинка» (далее – Постановление №86).</w:t>
      </w:r>
    </w:p>
    <w:p>
      <w:pPr>
        <w:pStyle w:val="Normal"/>
        <w:ind w:firstLine="708"/>
        <w:jc w:val="both"/>
        <w:rPr>
          <w:bCs/>
        </w:rPr>
      </w:pPr>
      <w:r>
        <w:rPr>
          <w:bCs/>
        </w:rPr>
        <w:t>Согласно паспорта, таблицы 4 в мероприятия программы должны быть включены:</w:t>
      </w:r>
    </w:p>
    <w:p>
      <w:pPr>
        <w:pStyle w:val="Normal"/>
        <w:ind w:firstLine="708"/>
        <w:jc w:val="both"/>
        <w:rPr>
          <w:bCs/>
        </w:rPr>
      </w:pPr>
      <w:r>
        <w:rPr>
          <w:bCs/>
        </w:rPr>
        <w:t xml:space="preserve">- содержание территории кладбища (подъездные пути, входные группы, ограждения), в том числе: уборка мусора, скос травы, уборка дорожек от снега; </w:t>
      </w:r>
    </w:p>
    <w:p>
      <w:pPr>
        <w:pStyle w:val="Normal"/>
        <w:ind w:firstLine="708"/>
        <w:jc w:val="both"/>
        <w:rPr>
          <w:bCs/>
        </w:rPr>
      </w:pPr>
      <w:r>
        <w:rPr>
          <w:bCs/>
        </w:rPr>
        <w:t xml:space="preserve">- инвентаризация мест захоронения; </w:t>
      </w:r>
    </w:p>
    <w:p>
      <w:pPr>
        <w:pStyle w:val="Normal"/>
        <w:ind w:firstLine="708"/>
        <w:jc w:val="both"/>
        <w:rPr>
          <w:bCs/>
        </w:rPr>
      </w:pPr>
      <w:r>
        <w:rPr>
          <w:bCs/>
        </w:rPr>
        <w:t>- содержание мест захоронения, в том числе: содержание и покраска надгробных сооружений и оград неухоженных могил в летний период, текущий ремонт ограждения.</w:t>
      </w:r>
    </w:p>
    <w:p>
      <w:pPr>
        <w:pStyle w:val="Normal"/>
        <w:ind w:firstLine="708"/>
        <w:jc w:val="both"/>
        <w:rPr>
          <w:bCs/>
        </w:rPr>
      </w:pPr>
      <w:r>
        <w:rPr>
          <w:bCs/>
        </w:rPr>
        <w:t>Постановлением №86 объем финансирования программы на 2025 год утвержден в сумме 400,0 тыс. руб.</w:t>
      </w:r>
    </w:p>
    <w:p>
      <w:pPr>
        <w:pStyle w:val="Normal"/>
        <w:ind w:firstLine="708"/>
        <w:jc w:val="both"/>
        <w:rPr>
          <w:bCs/>
        </w:rPr>
      </w:pPr>
      <w:r>
        <w:rPr>
          <w:bCs/>
        </w:rPr>
        <w:t>По данным журнала №4 расходы бюджета на содержание территории кладбища и инвентаризацию мест захоронения составили 717,2 тыс. руб., в том числе:</w:t>
      </w:r>
    </w:p>
    <w:p>
      <w:pPr>
        <w:pStyle w:val="Normal"/>
        <w:ind w:firstLine="708"/>
        <w:jc w:val="both"/>
        <w:rPr>
          <w:bCs/>
        </w:rPr>
      </w:pPr>
      <w:r>
        <w:rPr>
          <w:bCs/>
        </w:rPr>
        <w:t>- АО «Югра-Экология»: вывоз мусора с территории кладбища – 40,0 тыс. руб.;</w:t>
      </w:r>
    </w:p>
    <w:p>
      <w:pPr>
        <w:pStyle w:val="Normal"/>
        <w:ind w:firstLine="708"/>
        <w:jc w:val="both"/>
        <w:rPr>
          <w:bCs/>
        </w:rPr>
      </w:pPr>
      <w:r>
        <w:rPr>
          <w:bCs/>
        </w:rPr>
        <w:t>- муниципальный контракт с ИП Азимов Ф.Б. на содержание кладбища и мест захоронения – 400,0 тыс. руб.;</w:t>
      </w:r>
    </w:p>
    <w:p>
      <w:pPr>
        <w:pStyle w:val="Normal"/>
        <w:ind w:firstLine="708"/>
        <w:jc w:val="both"/>
        <w:rPr>
          <w:bCs/>
        </w:rPr>
      </w:pPr>
      <w:r>
        <w:rPr>
          <w:bCs/>
        </w:rPr>
        <w:t xml:space="preserve">- муниципальный контракт с ООО «ЭКОСТРОЙ» на инвентаризацию мест захоронения – 277,2 тыс. руб. </w:t>
      </w:r>
    </w:p>
    <w:p>
      <w:pPr>
        <w:pStyle w:val="Normal"/>
        <w:ind w:firstLine="708"/>
        <w:jc w:val="both"/>
        <w:rPr>
          <w:bCs/>
        </w:rPr>
      </w:pPr>
      <w:r>
        <w:rPr>
          <w:b/>
          <w:bCs/>
        </w:rPr>
        <w:t>В нарушение ст. 176 БК РФ</w:t>
      </w:r>
      <w:r>
        <w:rPr>
          <w:bCs/>
        </w:rPr>
        <w:t>, Постановления №86 в Распоряжении №244 целевая статья расходов для муниципальной программы не утверждена, администрацией поселения не приняты меры по уточнению объемов финансирования мероприятий программы, по внесению соответствующих изменений в муниципальные правовые акты, в том числе в Решение о бюджете</w:t>
      </w:r>
    </w:p>
    <w:p>
      <w:pPr>
        <w:pStyle w:val="Normal"/>
        <w:ind w:firstLine="708"/>
        <w:jc w:val="both"/>
        <w:rPr>
          <w:b/>
          <w:bCs/>
        </w:rPr>
      </w:pPr>
      <w:r>
        <w:rPr>
          <w:b/>
          <w:bCs/>
        </w:rPr>
        <w:t>Нарушение порядка применения кодов бюджетной классификации, бухгалтерского учета составило 717,2 тыс. руб.</w:t>
      </w:r>
    </w:p>
    <w:p>
      <w:pPr>
        <w:pStyle w:val="Normal"/>
        <w:ind w:firstLine="708"/>
        <w:jc w:val="both"/>
        <w:rPr>
          <w:bCs/>
        </w:rPr>
      </w:pPr>
      <w:r>
        <w:rPr>
          <w:bCs/>
        </w:rPr>
      </w:r>
    </w:p>
    <w:p>
      <w:pPr>
        <w:pStyle w:val="Normal"/>
        <w:tabs>
          <w:tab w:val="clear" w:pos="708"/>
          <w:tab w:val="left" w:pos="1170" w:leader="none"/>
        </w:tabs>
        <w:ind w:firstLine="708"/>
        <w:jc w:val="both"/>
        <w:rPr>
          <w:b/>
          <w:bCs/>
        </w:rPr>
      </w:pPr>
      <w:r>
        <w:rPr>
          <w:b/>
          <w:bCs/>
        </w:rPr>
        <w:t>3.4. Анализ соответствия дефицита бюджета критериям бюджетного законодательства.</w:t>
      </w:r>
    </w:p>
    <w:p>
      <w:pPr>
        <w:pStyle w:val="Normal"/>
        <w:ind w:firstLine="708"/>
        <w:jc w:val="both"/>
        <w:rPr>
          <w:bCs/>
        </w:rPr>
      </w:pPr>
      <w:r>
        <w:rPr>
          <w:bCs/>
        </w:rPr>
        <w:t>Первоначально бюджет поселения сформирован сбалансированным, с учетом отказа от дефицита. В течение года запланирован дефицит бюджета в сумме 4 770,9 тыс. руб. или 8,5% от годового объема доходов без учета объема безвозмездных поступлений, в составе источников финансирования дефицита бюджета запланировано изменение остатков средств на счетах по учету средств бюджета.</w:t>
      </w:r>
    </w:p>
    <w:p>
      <w:pPr>
        <w:pStyle w:val="Normal"/>
        <w:ind w:firstLine="708"/>
        <w:jc w:val="both"/>
        <w:rPr>
          <w:bCs/>
        </w:rPr>
      </w:pPr>
      <w:r>
        <w:rPr>
          <w:bCs/>
        </w:rPr>
        <w:t>По итогам года бюджет поселения исполнен с дефицитом в сумме 2 440,1 тыс. руб., остатки средств на счетах бюджета снизились с 7 336,1 тыс. руб. до 4 895,9 тыс. руб.</w:t>
      </w:r>
    </w:p>
    <w:p>
      <w:pPr>
        <w:pStyle w:val="Normal"/>
        <w:ind w:firstLine="708"/>
        <w:jc w:val="both"/>
        <w:rPr>
          <w:bCs/>
        </w:rPr>
      </w:pPr>
      <w:r>
        <w:rPr>
          <w:bCs/>
        </w:rPr>
        <w:t>Привлечение бюджетного кредита не осуществлялось, муниципальный долг поселения равен нулю.</w:t>
      </w:r>
    </w:p>
    <w:p>
      <w:pPr>
        <w:pStyle w:val="Normal"/>
        <w:ind w:firstLine="708"/>
        <w:jc w:val="both"/>
        <w:rPr>
          <w:bCs/>
        </w:rPr>
      </w:pPr>
      <w:r>
        <w:rPr>
          <w:bCs/>
        </w:rPr>
        <w:t>Муниципальные гарантии не предоставлялись.</w:t>
      </w:r>
    </w:p>
    <w:p>
      <w:pPr>
        <w:pStyle w:val="Normal"/>
        <w:ind w:firstLine="708"/>
        <w:jc w:val="both"/>
        <w:rPr>
          <w:bCs/>
        </w:rPr>
      </w:pPr>
      <w:r>
        <w:rPr>
          <w:bCs/>
        </w:rPr>
      </w:r>
    </w:p>
    <w:p>
      <w:pPr>
        <w:pStyle w:val="Normal"/>
        <w:ind w:firstLine="708"/>
        <w:jc w:val="both"/>
        <w:rPr>
          <w:b/>
          <w:bCs/>
        </w:rPr>
      </w:pPr>
      <w:r>
        <w:rPr>
          <w:b/>
          <w:bCs/>
        </w:rPr>
        <w:t>3.5. Анализ дебиторской, кредиторской задолженности.</w:t>
      </w:r>
    </w:p>
    <w:p>
      <w:pPr>
        <w:pStyle w:val="Normal"/>
        <w:ind w:firstLine="708"/>
        <w:jc w:val="both"/>
        <w:rPr>
          <w:bCs/>
        </w:rPr>
      </w:pPr>
      <w:r>
        <w:rPr>
          <w:bCs/>
        </w:rPr>
        <w:t>3.5.1. Дебиторская задолженность поселения, отраженная в форме 0503169, за отчетный период увеличилась на 24 362,9 тыс. руб. (на 14,0%) и на конец года составила 198 343,0 тыс. руб., в том числе по видам:</w:t>
      </w:r>
    </w:p>
    <w:p>
      <w:pPr>
        <w:pStyle w:val="Normal"/>
        <w:ind w:firstLine="708"/>
        <w:jc w:val="both"/>
        <w:rPr>
          <w:bCs/>
        </w:rPr>
      </w:pPr>
      <w:r>
        <w:rPr>
          <w:bCs/>
        </w:rPr>
        <w:t>- по поступлениям текущего характера от других бюджетов бюджетной системы Российской Федерации (доходы будущих периодов) – 172 442,9 тыс. руб., 115,5% к уровню прошлого года, из них долгосрочные – 113 059,4 тыс. руб.;</w:t>
      </w:r>
    </w:p>
    <w:p>
      <w:pPr>
        <w:pStyle w:val="Normal"/>
        <w:ind w:firstLine="708"/>
        <w:jc w:val="both"/>
        <w:rPr>
          <w:bCs/>
        </w:rPr>
      </w:pPr>
      <w:r>
        <w:rPr>
          <w:bCs/>
        </w:rPr>
        <w:t>- по налоговым доходам – 1 545,0 тыс. руб., 87,1% от уровня прошлого года, в том числе просроченная – 1 527,4 тыс. руб., доходы будущих периодов – 17,6 тыс. руб.;</w:t>
      </w:r>
    </w:p>
    <w:p>
      <w:pPr>
        <w:pStyle w:val="Normal"/>
        <w:ind w:firstLine="708"/>
        <w:jc w:val="both"/>
        <w:rPr>
          <w:bCs/>
        </w:rPr>
      </w:pPr>
      <w:r>
        <w:rPr>
          <w:bCs/>
        </w:rPr>
        <w:t>- по доходам от собственности, продажи имущества и иным доходам, администрируемым поселением – 24 137,0 тыс. руб., 105,3% к уровню прошлого года, в том числе доходы будущих периодов – 1 756,1 тыс. руб., просроченная задолженность – 35,9 тыс. руб.;</w:t>
      </w:r>
    </w:p>
    <w:p>
      <w:pPr>
        <w:pStyle w:val="Normal"/>
        <w:ind w:firstLine="708"/>
        <w:jc w:val="both"/>
        <w:rPr>
          <w:bCs/>
          <w:sz w:val="22"/>
        </w:rPr>
      </w:pPr>
      <w:r>
        <w:rPr>
          <w:bCs/>
        </w:rPr>
        <w:t>- по платежам в бюджет – 31,4 тыс. руб., 585,6% к уровню прошлого года;</w:t>
      </w:r>
    </w:p>
    <w:p>
      <w:pPr>
        <w:pStyle w:val="Normal"/>
        <w:ind w:firstLine="708"/>
        <w:jc w:val="both"/>
        <w:rPr>
          <w:bCs/>
        </w:rPr>
      </w:pPr>
      <w:r>
        <w:rPr>
          <w:bCs/>
        </w:rPr>
        <w:t>- по авансам по работам, услугам – 156,6 тыс. руб., +100,0% к уровню прошлого года.</w:t>
      </w:r>
    </w:p>
    <w:p>
      <w:pPr>
        <w:pStyle w:val="Normal"/>
        <w:ind w:firstLine="708"/>
        <w:jc w:val="both"/>
        <w:rPr>
          <w:bCs/>
        </w:rPr>
      </w:pPr>
      <w:r>
        <w:rPr>
          <w:bCs/>
        </w:rPr>
      </w:r>
    </w:p>
    <w:p>
      <w:pPr>
        <w:pStyle w:val="Normal"/>
        <w:ind w:firstLine="708"/>
        <w:jc w:val="both"/>
        <w:rPr>
          <w:bCs/>
        </w:rPr>
      </w:pPr>
      <w:r>
        <w:rPr>
          <w:bCs/>
        </w:rPr>
        <w:t>3.5.2. Кредиторская задолженность поселения за отчетный период снизилась на              2 067,0 тыс. руб. или на 24,2% и на конец года составила 6 480,6 тыс. руб., в том числе:</w:t>
      </w:r>
    </w:p>
    <w:p>
      <w:pPr>
        <w:pStyle w:val="Normal"/>
        <w:ind w:firstLine="708"/>
        <w:jc w:val="both"/>
        <w:rPr>
          <w:bCs/>
        </w:rPr>
      </w:pPr>
      <w:r>
        <w:rPr>
          <w:bCs/>
        </w:rPr>
        <w:t xml:space="preserve">- по налоговым доходам – 255,4 тыс. руб., 100,6% к уровню прошлого года; </w:t>
      </w:r>
    </w:p>
    <w:p>
      <w:pPr>
        <w:pStyle w:val="Normal"/>
        <w:ind w:firstLine="708"/>
        <w:jc w:val="both"/>
        <w:rPr>
          <w:bCs/>
        </w:rPr>
      </w:pPr>
      <w:r>
        <w:rPr>
          <w:bCs/>
        </w:rPr>
        <w:t>- по доходам от использования, продажи муниципального имущества – 6 119,2 тыс. руб., 77,2% от уровня прошлого года;</w:t>
      </w:r>
    </w:p>
    <w:p>
      <w:pPr>
        <w:pStyle w:val="Normal"/>
        <w:ind w:firstLine="708"/>
        <w:jc w:val="both"/>
        <w:rPr>
          <w:bCs/>
        </w:rPr>
      </w:pPr>
      <w:r>
        <w:rPr>
          <w:bCs/>
        </w:rPr>
        <w:t>- по принятым обязательствам – 106,0 тыс. руб., 29,8% от уровня прошлого года.</w:t>
      </w:r>
    </w:p>
    <w:p>
      <w:pPr>
        <w:pStyle w:val="Normal"/>
        <w:ind w:firstLine="708"/>
        <w:jc w:val="both"/>
        <w:rPr>
          <w:bCs/>
        </w:rPr>
      </w:pPr>
      <w:r>
        <w:rPr>
          <w:bCs/>
        </w:rPr>
        <w:t>Резерв предстоящих расходов на конец года составляет 1 607,6 тыс. руб.</w:t>
      </w:r>
    </w:p>
    <w:p>
      <w:pPr>
        <w:pStyle w:val="Normal"/>
        <w:ind w:firstLine="708"/>
        <w:jc w:val="both"/>
        <w:rPr>
          <w:bCs/>
        </w:rPr>
      </w:pPr>
      <w:r>
        <w:rPr>
          <w:bCs/>
        </w:rPr>
      </w:r>
    </w:p>
    <w:p>
      <w:pPr>
        <w:pStyle w:val="Normal"/>
        <w:tabs>
          <w:tab w:val="clear" w:pos="708"/>
          <w:tab w:val="left" w:pos="4320" w:leader="none"/>
          <w:tab w:val="left" w:pos="5490" w:leader="none"/>
        </w:tabs>
        <w:ind w:firstLine="284"/>
        <w:jc w:val="center"/>
        <w:rPr>
          <w:b/>
        </w:rPr>
      </w:pPr>
      <w:r>
        <w:rPr>
          <w:b/>
        </w:rPr>
        <w:t>4. Оценка соблюдения установленных законодательством требований по подготовке и представлению на внешнюю проверку годовой бюджетной отчетности и годового отчета об исполнении бюджета</w:t>
      </w:r>
    </w:p>
    <w:p>
      <w:pPr>
        <w:pStyle w:val="Normal"/>
        <w:tabs>
          <w:tab w:val="clear" w:pos="708"/>
          <w:tab w:val="left" w:pos="4320" w:leader="none"/>
          <w:tab w:val="left" w:pos="5490" w:leader="none"/>
        </w:tabs>
        <w:ind w:firstLine="284"/>
        <w:jc w:val="center"/>
        <w:rPr>
          <w:b/>
        </w:rPr>
      </w:pPr>
      <w:r>
        <w:rPr>
          <w:b/>
        </w:rPr>
      </w:r>
    </w:p>
    <w:p>
      <w:pPr>
        <w:pStyle w:val="Normal"/>
        <w:ind w:firstLine="708"/>
        <w:jc w:val="both"/>
        <w:rPr>
          <w:bCs/>
        </w:rPr>
      </w:pPr>
      <w:r>
        <w:rPr>
          <w:bCs/>
        </w:rPr>
        <w:t>4.1. Состав форм годовой бюджетной отчетности, в целом, соответствует требованиям, установленным бюджетным законодательством.</w:t>
      </w:r>
    </w:p>
    <w:p>
      <w:pPr>
        <w:pStyle w:val="Normal"/>
        <w:ind w:firstLine="708"/>
        <w:jc w:val="both"/>
        <w:rPr>
          <w:bCs/>
        </w:rPr>
      </w:pPr>
      <w:r>
        <w:rPr>
          <w:bCs/>
        </w:rPr>
        <w:t>4.2. Бюджетная отчетность предоставлена в сброшюрованном, непронумерованном виде, с оглавлением, сопроводительным письмом. Бюджетная отчетность проверена и принята Комитетом по управлению муниципальными финансами администрации Октябрьского района.</w:t>
      </w:r>
    </w:p>
    <w:p>
      <w:pPr>
        <w:pStyle w:val="Normal"/>
        <w:ind w:firstLine="708"/>
        <w:jc w:val="both"/>
        <w:rPr/>
      </w:pPr>
      <w:r>
        <w:rPr/>
        <w:t xml:space="preserve">4.3. </w:t>
      </w:r>
      <w:r>
        <w:rPr>
          <w:bCs/>
        </w:rPr>
        <w:t>Суммы плановых назначений в годовой бюджетной отчетности соответствуют утвержденным.</w:t>
      </w:r>
    </w:p>
    <w:p>
      <w:pPr>
        <w:pStyle w:val="Normal"/>
        <w:shd w:val="clear" w:color="auto" w:fill="FFFFFF"/>
        <w:tabs>
          <w:tab w:val="clear" w:pos="708"/>
          <w:tab w:val="left" w:pos="811" w:leader="none"/>
        </w:tabs>
        <w:ind w:firstLine="709"/>
        <w:jc w:val="both"/>
        <w:rPr>
          <w:bCs/>
        </w:rPr>
      </w:pPr>
      <w:r>
        <w:rPr>
          <w:bCs/>
        </w:rPr>
        <w:t>4.4. Основные показатели исполнения бюджетных назначений в годовом отчете об исполнении бюджета соответствуют показателям годовой бюджетной отчетности.</w:t>
      </w:r>
    </w:p>
    <w:p>
      <w:pPr>
        <w:pStyle w:val="Normal"/>
        <w:ind w:firstLine="708"/>
        <w:jc w:val="both"/>
        <w:rPr>
          <w:bCs/>
        </w:rPr>
      </w:pPr>
      <w:r>
        <w:rPr>
          <w:bCs/>
        </w:rPr>
      </w:r>
    </w:p>
    <w:p>
      <w:pPr>
        <w:pStyle w:val="Normal"/>
        <w:ind w:firstLine="708"/>
        <w:jc w:val="both"/>
        <w:rPr>
          <w:b/>
          <w:bCs/>
        </w:rPr>
      </w:pPr>
      <w:r>
        <w:rPr>
          <w:b/>
          <w:bCs/>
        </w:rPr>
        <w:t>4.5. Замечания к годовой бюджетной отчетности.</w:t>
      </w:r>
    </w:p>
    <w:p>
      <w:pPr>
        <w:pStyle w:val="Normal"/>
        <w:ind w:firstLine="708"/>
        <w:jc w:val="both"/>
        <w:rPr/>
      </w:pPr>
      <w:r>
        <w:rPr/>
        <w:t>4.5.1. В Отчете об исполнении бюджета (ф. 0503117), в Отчете о бюджетных обязательствах (ф. 0503128) имеют место нарушения Приказа №82н, Распоряжения №244 в части наименования расходов, например:</w:t>
      </w:r>
    </w:p>
    <w:p>
      <w:pPr>
        <w:pStyle w:val="Normal"/>
        <w:ind w:firstLine="708"/>
        <w:jc w:val="both"/>
        <w:rPr/>
      </w:pPr>
      <w:r>
        <w:rPr/>
        <w:t>- по КБК 000 0409 0200100000 000 000 указано «Муниципальная программа «Реализация государственной национальной политики и профилактика экстремизма, межнациональных и межконфессиональных конфликтов в муниципальном образовании городское поселение Талинка на 2020-2022 гг.»;</w:t>
      </w:r>
    </w:p>
    <w:p>
      <w:pPr>
        <w:pStyle w:val="Normal"/>
        <w:ind w:firstLine="708"/>
        <w:jc w:val="both"/>
        <w:rPr/>
      </w:pPr>
      <w:r>
        <w:rPr/>
        <w:t xml:space="preserve">- по КБК 000 0104 4100000000 000 000, 000 0106 4100000000 000 000 указано «мероприятия в области физической культуры и спорта»; </w:t>
      </w:r>
    </w:p>
    <w:p>
      <w:pPr>
        <w:pStyle w:val="Normal"/>
        <w:ind w:firstLine="708"/>
        <w:jc w:val="both"/>
        <w:rPr/>
      </w:pPr>
      <w:r>
        <w:rPr/>
        <w:t>- по КБК 000 0104 4110000000 000 000, 000 0106 4110000000 000 000 указано «4110000000».</w:t>
      </w:r>
    </w:p>
    <w:p>
      <w:pPr>
        <w:pStyle w:val="Normal"/>
        <w:ind w:firstLine="709"/>
        <w:jc w:val="both"/>
        <w:rPr/>
      </w:pPr>
      <w:r>
        <w:rPr/>
      </w:r>
    </w:p>
    <w:p>
      <w:pPr>
        <w:pStyle w:val="Normal"/>
        <w:ind w:firstLine="708"/>
        <w:jc w:val="both"/>
        <w:rPr/>
      </w:pPr>
      <w:r>
        <w:rPr/>
        <w:t xml:space="preserve">4.5.2. Согласно п. 383 Приказа № 157н, письма Минфина РФ от 26.12.2019 № 02-07-10/102212 в целях обеспечения надлежащего контроля за сохранностью, целевым использованием и движением имущества информацию об имуществе, переданном в пользование по договору социального найма жилых помещений, следует отражать на основании акта приема-передачи путем изменения материально ответственного лица на забалансовом счете 26 «Имущество, переданное в безвозмездное пользование» с сохранением учета указанных активов на балансовых счетах в составе нефинансовых активов. </w:t>
      </w:r>
    </w:p>
    <w:p>
      <w:pPr>
        <w:pStyle w:val="Normal"/>
        <w:ind w:firstLine="708"/>
        <w:jc w:val="both"/>
        <w:rPr>
          <w:b/>
          <w:bCs/>
        </w:rPr>
      </w:pPr>
      <w:r>
        <w:rPr/>
        <w:t xml:space="preserve">По данным оборотно-сальдовой-ведомости по счету 0 108 00 000 в течение года осуществлялись операции по поступлению и выбытию жилых помещений, при этом в формах 0503120, 0503168 данные о наличии недвижимого имущества на забалансовом счете 26 за отчетный период не изменились, </w:t>
      </w:r>
      <w:r>
        <w:rPr>
          <w:b/>
        </w:rPr>
        <w:t>что свидетельствует о наличии нарушений бухгалтерского учета.</w:t>
      </w:r>
    </w:p>
    <w:p>
      <w:pPr>
        <w:pStyle w:val="Normal"/>
        <w:ind w:firstLine="709"/>
        <w:jc w:val="both"/>
        <w:rPr/>
      </w:pPr>
      <w:r>
        <w:rPr/>
      </w:r>
    </w:p>
    <w:p>
      <w:pPr>
        <w:pStyle w:val="Normal"/>
        <w:ind w:firstLine="708"/>
        <w:jc w:val="both"/>
        <w:rPr>
          <w:bCs/>
        </w:rPr>
      </w:pPr>
      <w:r>
        <w:rPr>
          <w:bCs/>
        </w:rPr>
        <w:t>4.5.3. В Справке по заключению счетов (ф. 0503110) по счету 117 00000 00 0000 199 1 401 10 199 отражены доходы в сумме 33,4 тыс. руб. По данным расшифровки к форме – это доходы от безвозмездного получения от Управления социальной защиты населения по г.Нягани и Октябрьскому району подарков для выдачи родителям новорожденных.</w:t>
      </w:r>
    </w:p>
    <w:p>
      <w:pPr>
        <w:pStyle w:val="Normal"/>
        <w:ind w:firstLine="708"/>
        <w:jc w:val="both"/>
        <w:rPr>
          <w:bCs/>
        </w:rPr>
      </w:pPr>
      <w:r>
        <w:rPr>
          <w:bCs/>
        </w:rPr>
        <w:t>В соответствии с Приказом №85н поступление имущества от Управления социальной защиты населения по г. Нягани и Октябрьскому району Департамента социального развития Ханты-Мансийского автономного округа - Югры подлежит отражению по КБК 2 07 10130 13 0000 196 «Безвозмездные межбюджетные неденежные поступления в бюджеты городских поселений».</w:t>
      </w:r>
    </w:p>
    <w:p>
      <w:pPr>
        <w:pStyle w:val="Normal"/>
        <w:ind w:firstLine="708"/>
        <w:jc w:val="both"/>
        <w:rPr>
          <w:bCs/>
        </w:rPr>
      </w:pPr>
      <w:r>
        <w:rPr>
          <w:bCs/>
        </w:rPr>
        <w:t xml:space="preserve">В соответствии с п. 9.9.1. Приказа № 209н безвозмездные неденежные поступления текущего характера (материальные запасы) подлежат отражению по подстатье КОСГУ 191 «Безвозмездные неденежные поступления текущего характера от сектора государственного управления и организаций государственного сектора». </w:t>
      </w:r>
    </w:p>
    <w:p>
      <w:pPr>
        <w:pStyle w:val="Normal"/>
        <w:ind w:firstLine="708"/>
        <w:jc w:val="both"/>
        <w:rPr>
          <w:b/>
          <w:bCs/>
        </w:rPr>
      </w:pPr>
      <w:r>
        <w:rPr>
          <w:b/>
        </w:rPr>
        <w:t>Нарушение</w:t>
      </w:r>
      <w:r>
        <w:rPr/>
        <w:t xml:space="preserve"> </w:t>
      </w:r>
      <w:r>
        <w:rPr>
          <w:b/>
        </w:rPr>
        <w:t xml:space="preserve">порядка </w:t>
      </w:r>
      <w:r>
        <w:rPr>
          <w:b/>
          <w:bCs/>
        </w:rPr>
        <w:t>применения кодов бюджетной классификации, нарушение порядка классификации операций сектора государственного управления, бухгалтерского учета составило 33,4 тыс. руб.</w:t>
      </w:r>
    </w:p>
    <w:p>
      <w:pPr>
        <w:pStyle w:val="Normal"/>
        <w:ind w:firstLine="708"/>
        <w:jc w:val="both"/>
        <w:rPr>
          <w:bCs/>
        </w:rPr>
      </w:pPr>
      <w:r>
        <w:rPr>
          <w:b/>
          <w:bCs/>
        </w:rPr>
        <w:t>В нарушение Инструкции №191н</w:t>
      </w:r>
      <w:r>
        <w:rPr>
          <w:bCs/>
        </w:rPr>
        <w:t xml:space="preserve"> в Сведениях о движении нефинансовых активов (ф. 0503168) поступление материальных запасов в сумме 33,4 тыс. руб. отражено в графе 7 (оприходовано неучтенных), а не в графе 6 (получено безвозмездно).</w:t>
      </w:r>
    </w:p>
    <w:p>
      <w:pPr>
        <w:pStyle w:val="Normal"/>
        <w:ind w:firstLine="708"/>
        <w:jc w:val="both"/>
        <w:rPr>
          <w:bCs/>
        </w:rPr>
      </w:pPr>
      <w:r>
        <w:rPr>
          <w:bCs/>
        </w:rPr>
        <w:t>В Справке по заключению счетов отражены расходы по счету 0304 0000000000 323 1 401 20 263 в сумме 36,1 тыс. руб. – стоимость подарков, выданных населению, полученных от Управления социальной защиты населения по г. Нягани и Октябрьскому району Департамента социального развития ХМАО – Югры.</w:t>
      </w:r>
    </w:p>
    <w:p>
      <w:pPr>
        <w:pStyle w:val="Normal"/>
        <w:ind w:firstLine="708"/>
        <w:jc w:val="both"/>
        <w:rPr/>
      </w:pPr>
      <w:r>
        <w:rPr>
          <w:bCs/>
        </w:rPr>
        <w:t xml:space="preserve">В соответствии с Приказом </w:t>
      </w:r>
      <w:r>
        <w:rPr/>
        <w:t>№ 82н, Приказом №209н по виду расходов 323, подстатье КОСГУ 263 подлежат отражению кассовые расходы бюджета, отражение безвозмездной передачи имущества по указанным КБК не предусмотрено.</w:t>
      </w:r>
    </w:p>
    <w:p>
      <w:pPr>
        <w:pStyle w:val="Normal"/>
        <w:ind w:firstLine="708"/>
        <w:jc w:val="both"/>
        <w:rPr>
          <w:b/>
          <w:bCs/>
        </w:rPr>
      </w:pPr>
      <w:r>
        <w:rPr>
          <w:b/>
        </w:rPr>
        <w:t>Нарушение</w:t>
      </w:r>
      <w:r>
        <w:rPr/>
        <w:t xml:space="preserve"> </w:t>
      </w:r>
      <w:r>
        <w:rPr>
          <w:b/>
        </w:rPr>
        <w:t xml:space="preserve">порядка </w:t>
      </w:r>
      <w:r>
        <w:rPr>
          <w:b/>
          <w:bCs/>
        </w:rPr>
        <w:t>применения кодов бюджетной классификации, нарушение порядка классификации операций сектора государственного управления, бухгалтерского учета составило 36,1 тыс. руб.</w:t>
      </w:r>
    </w:p>
    <w:p>
      <w:pPr>
        <w:pStyle w:val="Normal"/>
        <w:ind w:firstLine="709"/>
        <w:jc w:val="both"/>
        <w:rPr>
          <w:bCs/>
        </w:rPr>
      </w:pPr>
      <w:r>
        <w:rPr>
          <w:bCs/>
        </w:rPr>
        <w:t>Аналогичные нарушения были указаны в заключении от 11.04.2025 №91.</w:t>
      </w:r>
    </w:p>
    <w:p>
      <w:pPr>
        <w:pStyle w:val="Normal"/>
        <w:ind w:firstLine="709"/>
        <w:jc w:val="both"/>
        <w:rPr>
          <w:bCs/>
        </w:rPr>
      </w:pPr>
      <w:r>
        <w:rPr>
          <w:bCs/>
        </w:rPr>
      </w:r>
    </w:p>
    <w:p>
      <w:pPr>
        <w:pStyle w:val="Normal"/>
        <w:ind w:firstLine="708"/>
        <w:jc w:val="both"/>
        <w:rPr>
          <w:bCs/>
        </w:rPr>
      </w:pPr>
      <w:r>
        <w:rPr>
          <w:bCs/>
        </w:rPr>
        <w:t>4.5.4. В Справке по заключению счетов (ф. 0503110) отражены доходы по счету:</w:t>
      </w:r>
    </w:p>
    <w:p>
      <w:pPr>
        <w:pStyle w:val="Normal"/>
        <w:ind w:firstLine="708"/>
        <w:jc w:val="both"/>
        <w:rPr>
          <w:bCs/>
        </w:rPr>
      </w:pPr>
      <w:r>
        <w:rPr>
          <w:bCs/>
        </w:rPr>
        <w:t>- 113 02065 13 0000 130 1 401 10 134 – 45,8 тыс. руб.</w:t>
      </w:r>
    </w:p>
    <w:p>
      <w:pPr>
        <w:pStyle w:val="Normal"/>
        <w:ind w:firstLine="708"/>
        <w:jc w:val="both"/>
        <w:rPr>
          <w:bCs/>
        </w:rPr>
      </w:pPr>
      <w:r>
        <w:rPr>
          <w:bCs/>
        </w:rPr>
        <w:t>В Отчете об исполнении бюджета (ф. 0503117) отражено поступление доходов по КБК:</w:t>
      </w:r>
    </w:p>
    <w:p>
      <w:pPr>
        <w:pStyle w:val="Normal"/>
        <w:ind w:firstLine="708"/>
        <w:jc w:val="both"/>
        <w:rPr>
          <w:bCs/>
        </w:rPr>
      </w:pPr>
      <w:r>
        <w:rPr>
          <w:bCs/>
        </w:rPr>
        <w:t>- 113 02065 13 0000 130 – 53,5 тыс. руб.;</w:t>
      </w:r>
    </w:p>
    <w:p>
      <w:pPr>
        <w:pStyle w:val="Normal"/>
        <w:ind w:firstLine="708"/>
        <w:jc w:val="both"/>
        <w:rPr>
          <w:bCs/>
        </w:rPr>
      </w:pPr>
      <w:r>
        <w:rPr>
          <w:bCs/>
        </w:rPr>
        <w:t>- 113 02995 13 0000 130 – 1,7 тыс. руб.</w:t>
      </w:r>
    </w:p>
    <w:p>
      <w:pPr>
        <w:pStyle w:val="Normal"/>
        <w:ind w:firstLine="708"/>
        <w:jc w:val="both"/>
        <w:rPr>
          <w:bCs/>
        </w:rPr>
      </w:pPr>
      <w:r>
        <w:rPr>
          <w:bCs/>
        </w:rPr>
        <w:t>В Отчете о движении денежных средств отражены поступления по подстатьям КОСГУ:</w:t>
      </w:r>
    </w:p>
    <w:p>
      <w:pPr>
        <w:pStyle w:val="Normal"/>
        <w:ind w:firstLine="708"/>
        <w:jc w:val="both"/>
        <w:rPr>
          <w:bCs/>
        </w:rPr>
      </w:pPr>
      <w:r>
        <w:rPr>
          <w:bCs/>
        </w:rPr>
        <w:t>- по строке 0505 (КОСГУ 134) – 45,2 тыс. руб.;</w:t>
      </w:r>
    </w:p>
    <w:p>
      <w:pPr>
        <w:pStyle w:val="Normal"/>
        <w:ind w:firstLine="708"/>
        <w:jc w:val="both"/>
        <w:rPr>
          <w:bCs/>
        </w:rPr>
      </w:pPr>
      <w:r>
        <w:rPr>
          <w:bCs/>
        </w:rPr>
        <w:t>- по строке 4210 (КОСГУ 136) – -9,9 тыс. руб.</w:t>
      </w:r>
    </w:p>
    <w:p>
      <w:pPr>
        <w:pStyle w:val="Normal"/>
        <w:ind w:firstLine="708"/>
        <w:jc w:val="both"/>
        <w:rPr>
          <w:bCs/>
        </w:rPr>
      </w:pPr>
      <w:r>
        <w:rPr>
          <w:bCs/>
        </w:rPr>
        <w:t>В соответствии с Инструкцией №191н в Отчете о движении денежных средств (ф. 0503123) поступления подлежат отражению:</w:t>
      </w:r>
    </w:p>
    <w:p>
      <w:pPr>
        <w:pStyle w:val="Normal"/>
        <w:ind w:firstLine="708"/>
        <w:jc w:val="both"/>
        <w:rPr>
          <w:bCs/>
        </w:rPr>
      </w:pPr>
      <w:r>
        <w:rPr>
          <w:bCs/>
        </w:rPr>
        <w:t>- по строке 0505 – от компенсации затрат;</w:t>
      </w:r>
    </w:p>
    <w:p>
      <w:pPr>
        <w:pStyle w:val="Normal"/>
        <w:ind w:firstLine="708"/>
        <w:jc w:val="both"/>
        <w:rPr>
          <w:bCs/>
        </w:rPr>
      </w:pPr>
      <w:r>
        <w:rPr>
          <w:bCs/>
        </w:rPr>
        <w:t xml:space="preserve">- по строке 4210 – сумма поступлений по доходам от возврата дебиторской задолженности прошлых лет, восстановлений кассовых расходов прошлых лет, а также поступлений по указанным возвратам (восстановлениям) на лицевой счет получателя бюджетных средств, кассу учреждения в отчетном периоде, не перечисленных (не внесенных на лицевой счет учреждения) в доход соответствующего бюджета бюджетной системы Российской Федерации на отчетную дату, сумма возвратов остатков субсидий прошлых лет на выполнение государственного (муниципального) задания, образовавшихся в связи с недостижением показателей его объема. </w:t>
      </w:r>
    </w:p>
    <w:p>
      <w:pPr>
        <w:pStyle w:val="Normal"/>
        <w:ind w:firstLine="708"/>
        <w:jc w:val="both"/>
        <w:rPr>
          <w:bCs/>
        </w:rPr>
      </w:pPr>
      <w:r>
        <w:rPr>
          <w:bCs/>
        </w:rPr>
        <w:t xml:space="preserve">Несоответствие данных связано с отражением на конец 2024 года кредиторской задолженности по данному виду доходов в сумме 8,2 тыс. руб. по несоответствующему КБК 113 </w:t>
      </w:r>
      <w:r>
        <w:rPr>
          <w:b/>
          <w:bCs/>
        </w:rPr>
        <w:t>02995</w:t>
      </w:r>
      <w:r>
        <w:rPr>
          <w:bCs/>
        </w:rPr>
        <w:t xml:space="preserve"> 13 0000 (данное нарушение было указано в заключении от 11.04.2025 №91).</w:t>
      </w:r>
    </w:p>
    <w:p>
      <w:pPr>
        <w:pStyle w:val="Normal"/>
        <w:ind w:firstLine="709"/>
        <w:jc w:val="both"/>
        <w:rPr>
          <w:bCs/>
        </w:rPr>
      </w:pPr>
      <w:r>
        <w:rPr>
          <w:bCs/>
        </w:rPr>
        <w:t>Кроме того, необходимо отметить, что в соответствии с п. 9.3.4., п. 9.3.5 Приказа №209н:</w:t>
      </w:r>
    </w:p>
    <w:p>
      <w:pPr>
        <w:pStyle w:val="Normal"/>
        <w:ind w:firstLine="709"/>
        <w:jc w:val="both"/>
        <w:rPr>
          <w:bCs/>
        </w:rPr>
      </w:pPr>
      <w:r>
        <w:rPr>
          <w:bCs/>
        </w:rPr>
        <w:t>- по подстатье КОСГУ 134 подлежит отражению возмещение затрат по содержанию имущества, находящегося в пользовании, вне договора аренды (безвозмездного пользования);</w:t>
      </w:r>
    </w:p>
    <w:p>
      <w:pPr>
        <w:pStyle w:val="Normal"/>
        <w:ind w:firstLine="709"/>
        <w:jc w:val="both"/>
        <w:rPr>
          <w:bCs/>
        </w:rPr>
      </w:pPr>
      <w:r>
        <w:rPr>
          <w:bCs/>
        </w:rPr>
        <w:t>- доходы от компенсации затрат (расходов) по оплате коммунальных услуг, а также услуг по эксплуатации и хозяйственному обслуживанию арендуемого здания (помещения), иные доходы, поступающие в порядке возмещения затрат (расходов), понесенных в связи с содержанием имущества, находящегося в аренде, в безвозмездном пользовании в соответствии с договором аренды (имущественного найма) или договором безвозмездного пользования, признаваемого в целях бухгалтерского учета объектом учета аренды, подлежат отражению по подстатье КОСГУ 135 «Доходы по условным арендным платежам».</w:t>
      </w:r>
    </w:p>
    <w:p>
      <w:pPr>
        <w:pStyle w:val="NormalWeb"/>
        <w:spacing w:lineRule="atLeast" w:line="288" w:beforeAutospacing="0" w:before="0" w:afterAutospacing="0" w:after="0"/>
        <w:ind w:firstLine="709"/>
        <w:jc w:val="both"/>
        <w:rPr>
          <w:bCs/>
        </w:rPr>
      </w:pPr>
      <w:r>
        <w:rPr/>
        <w:t xml:space="preserve">В нарушение Приказа №209н доходы от </w:t>
      </w:r>
      <w:r>
        <w:rPr>
          <w:bCs/>
        </w:rPr>
        <w:t>компенсации затрат (расходов) по оплате коммунальных услуг, осуществляемые в рамках договора от 25.02.2025 №10 в сумме                 45,8 тыс. руб. отражены по подстатье КОСГУ 134.</w:t>
      </w:r>
    </w:p>
    <w:p>
      <w:pPr>
        <w:pStyle w:val="NormalWeb"/>
        <w:spacing w:lineRule="atLeast" w:line="288" w:beforeAutospacing="0" w:before="0" w:afterAutospacing="0" w:after="0"/>
        <w:ind w:firstLine="709"/>
        <w:jc w:val="both"/>
        <w:rPr>
          <w:b/>
          <w:bCs/>
        </w:rPr>
      </w:pPr>
      <w:r>
        <w:rPr>
          <w:b/>
          <w:bCs/>
        </w:rPr>
        <w:t>Нарушение порядка применения классификации операций сектора государственного управления, бухгалтерского учета составило 45,8 тыс. руб.</w:t>
      </w:r>
    </w:p>
    <w:p>
      <w:pPr>
        <w:pStyle w:val="NormalWeb"/>
        <w:spacing w:lineRule="atLeast" w:line="288" w:beforeAutospacing="0" w:before="0" w:afterAutospacing="0" w:after="0"/>
        <w:ind w:firstLine="540"/>
        <w:jc w:val="both"/>
        <w:rPr/>
      </w:pPr>
      <w:r>
        <w:rPr/>
      </w:r>
    </w:p>
    <w:p>
      <w:pPr>
        <w:pStyle w:val="NormalWeb"/>
        <w:spacing w:lineRule="atLeast" w:line="288" w:beforeAutospacing="0" w:before="0" w:afterAutospacing="0" w:after="0"/>
        <w:ind w:firstLine="709"/>
        <w:jc w:val="both"/>
        <w:rPr>
          <w:bCs/>
        </w:rPr>
      </w:pPr>
      <w:r>
        <w:rPr/>
        <w:t xml:space="preserve">4.5.5. В заключении от 11.04.2025 №91 было указано о нарушениях в части </w:t>
      </w:r>
      <w:r>
        <w:rPr>
          <w:bCs/>
        </w:rPr>
        <w:t xml:space="preserve">учета на счете 010600000 большого числа объектов незавершенного строительства. </w:t>
      </w:r>
    </w:p>
    <w:p>
      <w:pPr>
        <w:pStyle w:val="NormalWeb"/>
        <w:spacing w:lineRule="atLeast" w:line="288" w:beforeAutospacing="0" w:before="0" w:afterAutospacing="0" w:after="0"/>
        <w:ind w:firstLine="709"/>
        <w:jc w:val="both"/>
        <w:rPr>
          <w:bCs/>
        </w:rPr>
      </w:pPr>
      <w:r>
        <w:rPr>
          <w:bCs/>
        </w:rPr>
        <w:t>Нарушение частично устранено, часть объектов, например, хоккейный корт передан подведомственному учреждению. По состоянию на конец отчетного года остаток по счету составляет 41 525,5 тыс. руб., в том числе 10 объектов незавершенного строительства и проектно-сметная документация «Проезд Г в мкр-не ИЖС № 5», по данным формы 0503190 начало реализации 5 проектов – 2022, 2023 годы, по 5 проектам – дата начала реализации неизвестна. Объекты незавершенного строительства подлежат инвентаризации на предмет признания их активами.</w:t>
      </w:r>
    </w:p>
    <w:p>
      <w:pPr>
        <w:pStyle w:val="Normal"/>
        <w:ind w:firstLine="708"/>
        <w:jc w:val="both"/>
        <w:rPr>
          <w:bCs/>
        </w:rPr>
      </w:pPr>
      <w:r>
        <w:rPr>
          <w:bCs/>
        </w:rPr>
        <w:t xml:space="preserve">Кроме того, по данным оборотно-сальдовой ведомости по счету 010100000 на конец отчетного года в составе основных средств продолжают числится объекты, подлежащие учету в составе имущества казны, например: </w:t>
      </w:r>
    </w:p>
    <w:p>
      <w:pPr>
        <w:pStyle w:val="Normal"/>
        <w:ind w:firstLine="708"/>
        <w:jc w:val="both"/>
        <w:rPr>
          <w:bCs/>
        </w:rPr>
      </w:pPr>
      <w:r>
        <w:rPr>
          <w:bCs/>
        </w:rPr>
        <w:t>- проезд Ж в квартале 5мкр. – 5 255,2 тыс. руб.;</w:t>
      </w:r>
    </w:p>
    <w:p>
      <w:pPr>
        <w:pStyle w:val="Normal"/>
        <w:ind w:firstLine="708"/>
        <w:jc w:val="both"/>
        <w:rPr>
          <w:bCs/>
        </w:rPr>
      </w:pPr>
      <w:r>
        <w:rPr>
          <w:bCs/>
        </w:rPr>
        <w:t>- спортивная площадка (турниковый комплекс) – 2 429,1 тыс. руб.;</w:t>
      </w:r>
    </w:p>
    <w:p>
      <w:pPr>
        <w:pStyle w:val="Normal"/>
        <w:ind w:firstLine="708"/>
        <w:jc w:val="both"/>
        <w:rPr>
          <w:bCs/>
        </w:rPr>
      </w:pPr>
      <w:r>
        <w:rPr>
          <w:bCs/>
        </w:rPr>
        <w:t>- автогородок – 262,5 тыс. руб.;</w:t>
      </w:r>
    </w:p>
    <w:p>
      <w:pPr>
        <w:pStyle w:val="Normal"/>
        <w:ind w:firstLine="708"/>
        <w:jc w:val="both"/>
        <w:rPr>
          <w:bCs/>
        </w:rPr>
      </w:pPr>
      <w:r>
        <w:rPr>
          <w:bCs/>
        </w:rPr>
        <w:t>- контейнерная площадка – 3 090,0 тыс. руб.;</w:t>
      </w:r>
    </w:p>
    <w:p>
      <w:pPr>
        <w:pStyle w:val="Normal"/>
        <w:ind w:firstLine="708"/>
        <w:jc w:val="both"/>
        <w:rPr>
          <w:bCs/>
        </w:rPr>
      </w:pPr>
      <w:r>
        <w:rPr>
          <w:bCs/>
        </w:rPr>
        <w:t>- ограждение кладбища – 540,0 тыс. руб.;</w:t>
      </w:r>
    </w:p>
    <w:p>
      <w:pPr>
        <w:pStyle w:val="Normal"/>
        <w:ind w:firstLine="708"/>
        <w:jc w:val="both"/>
        <w:rPr>
          <w:bCs/>
        </w:rPr>
      </w:pPr>
      <w:r>
        <w:rPr>
          <w:bCs/>
        </w:rPr>
        <w:t>- парковое освещение площади Защитникам Отечества – 652,8 тыс. руб.</w:t>
      </w:r>
    </w:p>
    <w:p>
      <w:pPr>
        <w:pStyle w:val="NormalWeb"/>
        <w:spacing w:lineRule="atLeast" w:line="288" w:beforeAutospacing="0" w:before="0" w:afterAutospacing="0" w:after="0"/>
        <w:ind w:firstLine="709"/>
        <w:jc w:val="both"/>
        <w:rPr>
          <w:b/>
        </w:rPr>
      </w:pPr>
      <w:r>
        <w:rPr>
          <w:b/>
        </w:rPr>
        <w:t>Установлено нарушение бухгалтерского учета на сумму 12 229,6 тыс. руб.</w:t>
      </w:r>
    </w:p>
    <w:p>
      <w:pPr>
        <w:pStyle w:val="Normal"/>
        <w:rPr/>
      </w:pPr>
      <w:r>
        <w:rPr/>
      </w:r>
    </w:p>
    <w:p>
      <w:pPr>
        <w:pStyle w:val="Normal"/>
        <w:ind w:firstLine="708"/>
        <w:jc w:val="both"/>
        <w:rPr>
          <w:bCs/>
        </w:rPr>
      </w:pPr>
      <w:r>
        <w:rPr>
          <w:bCs/>
        </w:rPr>
        <w:t>4.5.6. В нарушение Инструкции №191н, Приказа №85н, Приказа №209н в Сведениях по дебиторской, кредиторской задолженности (ф.0503169):</w:t>
      </w:r>
    </w:p>
    <w:p>
      <w:pPr>
        <w:pStyle w:val="Normal"/>
        <w:ind w:firstLine="708"/>
        <w:jc w:val="both"/>
        <w:rPr/>
      </w:pPr>
      <w:r>
        <w:rPr>
          <w:bCs/>
        </w:rPr>
        <w:t xml:space="preserve">- </w:t>
      </w:r>
      <w:r>
        <w:rPr/>
        <w:t>по счету 111 09045 13 0000 120 1 205 21 004 с 2024 года</w:t>
      </w:r>
      <w:r>
        <w:rPr>
          <w:bCs/>
        </w:rPr>
        <w:t xml:space="preserve"> </w:t>
      </w:r>
      <w:r>
        <w:rPr/>
        <w:t>числится</w:t>
      </w:r>
      <w:r>
        <w:rPr>
          <w:bCs/>
        </w:rPr>
        <w:t xml:space="preserve"> дебиторская </w:t>
      </w:r>
      <w:r>
        <w:rPr/>
        <w:t>задолженность в сумме 10,3 тыс. руб., администрацией поселения не приняты меры по ее погашению, задолженность не отнесена к просроченной, кроме того, задолженность по прочим поступлениям от использования имущества отражена по счету 1 205 21 000,</w:t>
      </w:r>
      <w:r>
        <w:rPr>
          <w:b/>
        </w:rPr>
        <w:t xml:space="preserve"> нарушение бухгалтерского учета составило 10,3 тыс. руб.</w:t>
      </w:r>
      <w:r>
        <w:rPr/>
        <w:t>;</w:t>
      </w:r>
    </w:p>
    <w:p>
      <w:pPr>
        <w:pStyle w:val="Normal"/>
        <w:ind w:firstLine="709"/>
        <w:jc w:val="both"/>
        <w:rPr>
          <w:bCs/>
        </w:rPr>
      </w:pPr>
      <w:r>
        <w:rPr>
          <w:bCs/>
        </w:rPr>
        <w:t xml:space="preserve">- </w:t>
      </w:r>
      <w:r>
        <w:rPr/>
        <w:t>по счету 114 06013 13 0000 430 1 205 73 004 с 2024 года</w:t>
      </w:r>
      <w:r>
        <w:rPr>
          <w:bCs/>
        </w:rPr>
        <w:t xml:space="preserve"> </w:t>
      </w:r>
      <w:r>
        <w:rPr/>
        <w:t>числится</w:t>
      </w:r>
      <w:r>
        <w:rPr>
          <w:bCs/>
        </w:rPr>
        <w:t xml:space="preserve"> дебиторская </w:t>
      </w:r>
      <w:r>
        <w:rPr/>
        <w:t>задолженность в сумме 172,7 тыс. руб., администрацией поселения не приняты меры по ее погашению, задолженность не отнесена к просроченной;</w:t>
      </w:r>
      <w:r>
        <w:rPr>
          <w:bCs/>
        </w:rPr>
        <w:t xml:space="preserve"> </w:t>
      </w:r>
    </w:p>
    <w:p>
      <w:pPr>
        <w:pStyle w:val="Normal"/>
        <w:ind w:firstLine="708"/>
        <w:jc w:val="both"/>
        <w:rPr>
          <w:b/>
        </w:rPr>
      </w:pPr>
      <w:r>
        <w:rPr/>
        <w:t>- по счету 116 07090 13 0000 140 1 209 45 007 с 2022 года</w:t>
      </w:r>
      <w:r>
        <w:rPr>
          <w:bCs/>
        </w:rPr>
        <w:t xml:space="preserve"> </w:t>
      </w:r>
      <w:r>
        <w:rPr/>
        <w:t>числится</w:t>
      </w:r>
      <w:r>
        <w:rPr>
          <w:bCs/>
        </w:rPr>
        <w:t xml:space="preserve"> дебиторская </w:t>
      </w:r>
      <w:r>
        <w:rPr/>
        <w:t xml:space="preserve">задолженность в сумме 0,6 тыс. руб., администрацией поселения не приняты меры по ее погашению, в нарушение Приказа №162н задолженность по штрафным санкциям за нарушение условий контрактов отражена по счету 1 209 45 000, допущено нарушение </w:t>
      </w:r>
      <w:r>
        <w:rPr>
          <w:b/>
        </w:rPr>
        <w:t>бухгалтерского учета в сумме 0,6 тыс. руб.;</w:t>
      </w:r>
    </w:p>
    <w:p>
      <w:pPr>
        <w:pStyle w:val="Normal"/>
        <w:ind w:firstLine="708"/>
        <w:jc w:val="both"/>
        <w:rPr>
          <w:b/>
        </w:rPr>
      </w:pPr>
      <w:r>
        <w:rPr>
          <w:bCs/>
        </w:rPr>
        <w:t xml:space="preserve">- </w:t>
      </w:r>
      <w:r>
        <w:rPr/>
        <w:t>по счетам 111 09045 13 0000 120 1 205 21 004 (006) с 2022 года</w:t>
      </w:r>
      <w:r>
        <w:rPr>
          <w:bCs/>
        </w:rPr>
        <w:t xml:space="preserve"> </w:t>
      </w:r>
      <w:r>
        <w:rPr/>
        <w:t>числится</w:t>
      </w:r>
      <w:r>
        <w:rPr>
          <w:bCs/>
        </w:rPr>
        <w:t xml:space="preserve"> кредиторская </w:t>
      </w:r>
      <w:r>
        <w:rPr/>
        <w:t xml:space="preserve">задолженность в сумме 70,6 тыс. руб., администрацией поселения не приняты меры по ее погашению, кроме того, задолженность по прочим поступлениям от использования имущества отражена по счету 1 205 21 000, допущено нарушение </w:t>
      </w:r>
      <w:r>
        <w:rPr>
          <w:b/>
        </w:rPr>
        <w:t>бухгалтерского учета в сумме 70,6 тыс. руб.;</w:t>
      </w:r>
    </w:p>
    <w:p>
      <w:pPr>
        <w:pStyle w:val="Normal"/>
        <w:ind w:firstLine="708"/>
        <w:jc w:val="both"/>
        <w:rPr/>
      </w:pPr>
      <w:r>
        <w:rPr>
          <w:bCs/>
        </w:rPr>
        <w:t xml:space="preserve">- </w:t>
      </w:r>
      <w:r>
        <w:rPr/>
        <w:t>по счету 111 05075 13 0000 120 1 205 21 004 с 2024 года</w:t>
      </w:r>
      <w:r>
        <w:rPr>
          <w:bCs/>
        </w:rPr>
        <w:t xml:space="preserve"> </w:t>
      </w:r>
      <w:r>
        <w:rPr/>
        <w:t>числится</w:t>
      </w:r>
      <w:r>
        <w:rPr>
          <w:bCs/>
        </w:rPr>
        <w:t xml:space="preserve"> кредиторская </w:t>
      </w:r>
      <w:r>
        <w:rPr/>
        <w:t>задолженность в сумме 1 158,9 тыс. руб., администрацией поселения не приняты меры по ее погашению;</w:t>
      </w:r>
    </w:p>
    <w:p>
      <w:pPr>
        <w:pStyle w:val="Normal"/>
        <w:ind w:firstLine="708"/>
        <w:jc w:val="both"/>
        <w:rPr/>
      </w:pPr>
      <w:r>
        <w:rPr/>
        <w:t>- по счету 114 06013 13 0000 430 1 205 73 007 с 2024 года отражена кредиторская задолженность в сумме 2,5 тыс. руб., администрацией поселения не приняты меры по ее погашению;</w:t>
      </w:r>
    </w:p>
    <w:p>
      <w:pPr>
        <w:pStyle w:val="Normal"/>
        <w:ind w:firstLine="708"/>
        <w:jc w:val="both"/>
        <w:rPr/>
      </w:pPr>
      <w:r>
        <w:rPr/>
        <w:t>- не отражена просроченная дебиторская задолженность по найму, аренде имущества и земельных участков;</w:t>
      </w:r>
    </w:p>
    <w:p>
      <w:pPr>
        <w:pStyle w:val="Normal"/>
        <w:ind w:firstLine="709"/>
        <w:jc w:val="both"/>
        <w:rPr/>
      </w:pPr>
      <w:r>
        <w:rPr/>
        <w:t>- отклонение между кассовыми, фактическими доходами текущего года и будущих периодов по доходам от аренды имущества, найма жилого фонда, аренды земельных участков не соответствует динамике дебиторской, кредиторской задолженности, что свидетельствует о возможном наличии нарушений бухгалтерского учета.</w:t>
      </w:r>
    </w:p>
    <w:p>
      <w:pPr>
        <w:pStyle w:val="Normal"/>
        <w:ind w:firstLine="708"/>
        <w:jc w:val="both"/>
        <w:rPr/>
      </w:pPr>
      <w:r>
        <w:rPr/>
      </w:r>
    </w:p>
    <w:p>
      <w:pPr>
        <w:pStyle w:val="Normal"/>
        <w:ind w:firstLine="708"/>
        <w:jc w:val="both"/>
        <w:rPr/>
      </w:pPr>
      <w:r>
        <w:rPr/>
        <w:t xml:space="preserve">4.5.7. </w:t>
      </w:r>
      <w:r>
        <w:rPr>
          <w:b/>
        </w:rPr>
        <w:t>В нарушение Инструкции №191н</w:t>
      </w:r>
      <w:r>
        <w:rPr/>
        <w:t xml:space="preserve"> в разделах 1, 2 Сведений о принятых и неисполненных обязательствах (ф. 0503175) указано об отсутствии неисполненных бюджетных и денежных обязательствах, что не соответствует данным формы 0503128 (3 659,6 тыс. руб. и 106,0 тыс. руб. соответственно), а также данным формы 0503169, согласно которым кредиторская задолженность по принятым обязательствам на конец года составляет 106,0 тыс. руб.</w:t>
      </w:r>
    </w:p>
    <w:p>
      <w:pPr>
        <w:pStyle w:val="Normal"/>
        <w:ind w:firstLine="708"/>
        <w:jc w:val="both"/>
        <w:rPr/>
      </w:pPr>
      <w:r>
        <w:rPr/>
      </w:r>
    </w:p>
    <w:p>
      <w:pPr>
        <w:pStyle w:val="Normal"/>
        <w:ind w:firstLine="708"/>
        <w:jc w:val="both"/>
        <w:rPr/>
      </w:pPr>
      <w:r>
        <w:rPr/>
        <w:t>4.5.8. В нарушение Инструкции №191н в Пояснительной записке (ф. 0503160):</w:t>
      </w:r>
    </w:p>
    <w:p>
      <w:pPr>
        <w:pStyle w:val="Normal"/>
        <w:ind w:firstLine="708"/>
        <w:jc w:val="both"/>
        <w:rPr/>
      </w:pPr>
      <w:r>
        <w:rPr/>
        <w:t>- в разделе 4 указаны данные о кредиторской задолженности по счету 205 в сумме 7 185,9 тыс. руб., что не соответствует данным формы 050169 – 6 374,6 тыс. руб.;</w:t>
      </w:r>
    </w:p>
    <w:p>
      <w:pPr>
        <w:pStyle w:val="Normal"/>
        <w:ind w:firstLine="708"/>
        <w:jc w:val="both"/>
        <w:rPr/>
      </w:pPr>
      <w:r>
        <w:rPr/>
        <w:t>- в соответствии с п. 156. Инструкции № 191 информация в Таблице № 4 «Сведения об основных положениях учетной политики» характеризует основные положения учетной политики субъекта бюджетной отчетности, раскрывающие за отчетный период особенности отражения в бюджетном учете операций с активами и обязательствами в части установленного нормативными правовыми актами, регулирующими ведение бюджетного учета, права самостоятельного определения таких особенностей и отраслевых особенностей бюджетного учета в соответствии с приложением №2 к Инструкции №191н, содержание Таблицы №4 не соответствует требованиям приложения №2 Инструкции №191н;</w:t>
      </w:r>
    </w:p>
    <w:p>
      <w:pPr>
        <w:pStyle w:val="Normal"/>
        <w:ind w:firstLine="709"/>
        <w:jc w:val="both"/>
        <w:rPr/>
      </w:pPr>
      <w:r>
        <w:rPr/>
        <w:t>- отсутствуют Таблицы: №№ 3, 11, 12,15;</w:t>
      </w:r>
    </w:p>
    <w:p>
      <w:pPr>
        <w:pStyle w:val="Normal"/>
        <w:ind w:firstLine="709"/>
        <w:jc w:val="both"/>
        <w:rPr/>
      </w:pPr>
      <w:r>
        <w:rPr/>
        <w:t>- в Таблице №14 не указаны причины возникновения просроченной дебиторской задолженности по доходам, администратором которых является администрация поселения.</w:t>
      </w:r>
    </w:p>
    <w:p>
      <w:pPr>
        <w:pStyle w:val="Normal"/>
        <w:ind w:firstLine="709"/>
        <w:jc w:val="both"/>
        <w:rPr/>
      </w:pPr>
      <w:r>
        <w:rPr/>
      </w:r>
    </w:p>
    <w:p>
      <w:pPr>
        <w:pStyle w:val="Normal"/>
        <w:ind w:firstLine="709"/>
        <w:jc w:val="both"/>
        <w:rPr/>
      </w:pPr>
      <w:r>
        <w:rPr/>
        <w:t>4.5.9. По данным отчетов об исполнении бюджета, о движении денежных средств (ф. 0503117, 0503123) администрацией поселения осуществлены расходы на оплату штрафов за нарушение законодательства о налогах, сборах, законодательства о страховых взносах, на оплату других экономических санкций (административный штраф) в сумме 225,8 тыс. руб.</w:t>
      </w:r>
    </w:p>
    <w:p>
      <w:pPr>
        <w:pStyle w:val="Normal"/>
        <w:ind w:firstLine="709"/>
        <w:jc w:val="both"/>
        <w:rPr>
          <w:b/>
        </w:rPr>
      </w:pPr>
      <w:r>
        <w:rPr/>
        <w:t>Таким образом, администрацией поселения допущено</w:t>
      </w:r>
      <w:r>
        <w:rPr>
          <w:b/>
        </w:rPr>
        <w:t xml:space="preserve"> неэффективное расходование бюджетных средств в сумме 225,8 тыс. руб.</w:t>
      </w:r>
    </w:p>
    <w:p>
      <w:pPr>
        <w:pStyle w:val="Normal"/>
        <w:ind w:firstLine="709"/>
        <w:jc w:val="both"/>
        <w:rPr/>
      </w:pPr>
      <w:r>
        <w:rPr/>
      </w:r>
    </w:p>
    <w:p>
      <w:pPr>
        <w:pStyle w:val="Normal"/>
        <w:ind w:firstLine="708"/>
        <w:jc w:val="both"/>
        <w:rPr/>
      </w:pPr>
      <w:r>
        <w:rPr/>
        <w:t>4.5.10. В соответствии с п. 18.1. Приказа №82н отнесение расходов бюджетов бюджетной системы Российской Федерации на разделы и подразделы классификации расходов бюджетов осуществляется с учетом следующего:</w:t>
      </w:r>
    </w:p>
    <w:p>
      <w:pPr>
        <w:pStyle w:val="Normal"/>
        <w:ind w:firstLine="708"/>
        <w:jc w:val="both"/>
        <w:rPr/>
      </w:pPr>
      <w:r>
        <w:rPr/>
        <w:t>- отнесение расходов на руководство и управление в сфере установленных функций (административных расходов) на соответствующие указанным функциям разделы и подразделы классификации расходов бюджетов;</w:t>
      </w:r>
    </w:p>
    <w:p>
      <w:pPr>
        <w:pStyle w:val="Normal"/>
        <w:ind w:firstLine="708"/>
        <w:jc w:val="both"/>
        <w:rPr/>
      </w:pPr>
      <w:r>
        <w:rPr/>
        <w:t>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классификации расходов бюджетов подлежат отражению расходы на обеспечение деятельности местных администраций и соответствующих аппаратов.</w:t>
      </w:r>
    </w:p>
    <w:p>
      <w:pPr>
        <w:pStyle w:val="Normal"/>
        <w:ind w:firstLine="708"/>
        <w:jc w:val="both"/>
        <w:rPr/>
      </w:pPr>
      <w:r>
        <w:rPr/>
        <w:t xml:space="preserve">По подразделу 0113 «Другие общегосударственные вопросы» классификации расходов бюджетов подлежат отражению расходы на выполнение функций по общегосударственным вопросам, не отнесенным к другим подразделам данного раздела классификации расходов бюджетов, в том числе на управление государственной (муниципальной) собственностью. </w:t>
      </w:r>
    </w:p>
    <w:p>
      <w:pPr>
        <w:pStyle w:val="Normal"/>
        <w:ind w:firstLine="709"/>
        <w:jc w:val="both"/>
        <w:rPr>
          <w:bCs/>
        </w:rPr>
      </w:pPr>
      <w:r>
        <w:rPr>
          <w:bCs/>
        </w:rPr>
        <w:t>В соответствии с п. 18.2.7 расходы на приобретение органами местного самоуправления образовательных услуг по основным программам профессионального обучения (программам профессиональной подготовки по профессиям рабочих, должностям служащих, программам переподготовки рабочих, служащих, программам повышения квалификации рабочих, служащих) и дополнительным профессиональным программам (программам повышения квалификации и профессиональной переподготовки) подлежат отражению по подразделу 0705 «Профессиональная подготовка, переподготовка и повышение квалификации».</w:t>
      </w:r>
    </w:p>
    <w:p>
      <w:pPr>
        <w:pStyle w:val="Normal"/>
        <w:ind w:firstLine="709"/>
        <w:jc w:val="both"/>
        <w:rPr>
          <w:bCs/>
        </w:rPr>
      </w:pPr>
      <w:r>
        <w:rPr>
          <w:bCs/>
        </w:rPr>
        <w:t>По данным журнала №4, расшифровки расходов установлены факты отражения расходов по несоответствующим подразделам, целевым статьям бюджетной классификации (счетам бюджетного учета), например:</w:t>
      </w:r>
    </w:p>
    <w:p>
      <w:pPr>
        <w:pStyle w:val="Normal"/>
        <w:ind w:firstLine="709"/>
        <w:jc w:val="both"/>
        <w:rPr>
          <w:bCs/>
        </w:rPr>
      </w:pPr>
      <w:r>
        <w:rPr>
          <w:bCs/>
        </w:rPr>
        <w:t>- 01134010099990244.1.401.20.222: услуги по перевозке праздничных культурно-массовых мероприятий– 25,0 тыс. руб.;</w:t>
      </w:r>
    </w:p>
    <w:p>
      <w:pPr>
        <w:pStyle w:val="Normal"/>
        <w:ind w:firstLine="709"/>
        <w:jc w:val="both"/>
        <w:rPr>
          <w:bCs/>
        </w:rPr>
      </w:pPr>
      <w:r>
        <w:rPr>
          <w:bCs/>
        </w:rPr>
        <w:t>- 01134010099990244.1.401.20.226: расходы на повышение квалификации – 15,0 тыс. руб.;</w:t>
      </w:r>
    </w:p>
    <w:p>
      <w:pPr>
        <w:pStyle w:val="Normal"/>
        <w:ind w:firstLine="709"/>
        <w:jc w:val="both"/>
        <w:rPr>
          <w:bCs/>
        </w:rPr>
      </w:pPr>
      <w:r>
        <w:rPr>
          <w:bCs/>
        </w:rPr>
        <w:t>- 01134010002400244.1.401.20.221, 01134010099990244.1.401.20.221: услуги связи – 431,5 тыс. руб.;</w:t>
      </w:r>
    </w:p>
    <w:p>
      <w:pPr>
        <w:pStyle w:val="Normal"/>
        <w:ind w:firstLine="709"/>
        <w:jc w:val="both"/>
        <w:rPr>
          <w:bCs/>
        </w:rPr>
      </w:pPr>
      <w:r>
        <w:rPr>
          <w:bCs/>
        </w:rPr>
        <w:t>- 01134010002400244.1.401.20.226: обновление, обслуживание программного обеспечения – 482,2 тыс. руб.;</w:t>
      </w:r>
    </w:p>
    <w:p>
      <w:pPr>
        <w:pStyle w:val="Normal"/>
        <w:ind w:firstLine="709"/>
        <w:jc w:val="both"/>
        <w:rPr>
          <w:bCs/>
        </w:rPr>
      </w:pPr>
      <w:r>
        <w:rPr>
          <w:bCs/>
        </w:rPr>
        <w:t>- 011340100002400244(247).1.401.20.223, 011340100099990244(247).1.401.20.223: коммунальные услуги – 1 472,2 тыс. руб.;</w:t>
      </w:r>
    </w:p>
    <w:p>
      <w:pPr>
        <w:pStyle w:val="Normal"/>
        <w:ind w:firstLine="709"/>
        <w:jc w:val="both"/>
        <w:rPr>
          <w:bCs/>
        </w:rPr>
      </w:pPr>
      <w:r>
        <w:rPr>
          <w:bCs/>
        </w:rPr>
        <w:t>- 01134010099990(02400)244.1.401.20.224: расходы на аренду автомобиля, модема – 1 149,2 тыс. руб.;</w:t>
      </w:r>
    </w:p>
    <w:p>
      <w:pPr>
        <w:pStyle w:val="Normal"/>
        <w:ind w:firstLine="709"/>
        <w:jc w:val="both"/>
        <w:rPr>
          <w:bCs/>
        </w:rPr>
      </w:pPr>
      <w:r>
        <w:rPr>
          <w:bCs/>
        </w:rPr>
        <w:t xml:space="preserve">- 01134010099990(02400)244.1.401.20.225: содержание, обслуживание здания администрации – 353,0 тыс. руб. </w:t>
      </w:r>
    </w:p>
    <w:p>
      <w:pPr>
        <w:pStyle w:val="Normal"/>
        <w:ind w:firstLine="709"/>
        <w:jc w:val="both"/>
        <w:rPr>
          <w:bCs/>
        </w:rPr>
      </w:pPr>
      <w:r>
        <w:rPr>
          <w:bCs/>
        </w:rPr>
        <w:t>- 011340100(02400/99990)244.1.105.36.346, 01134010002400244.1.106.31.310: приобретение оргтехники, канцелярских и хозяйственных товаров, комплекс технических средств оповещения и информирования персонала и посетителей о ГО и ЧС, террористической угрозе.</w:t>
      </w:r>
    </w:p>
    <w:p>
      <w:pPr>
        <w:pStyle w:val="Normal"/>
        <w:ind w:firstLine="709"/>
        <w:jc w:val="both"/>
        <w:rPr/>
      </w:pPr>
      <w:r>
        <w:rPr>
          <w:b/>
        </w:rPr>
        <w:t>Нарушение</w:t>
      </w:r>
      <w:r>
        <w:rPr/>
        <w:t xml:space="preserve"> </w:t>
      </w:r>
      <w:r>
        <w:rPr>
          <w:b/>
        </w:rPr>
        <w:t xml:space="preserve">порядка </w:t>
      </w:r>
      <w:r>
        <w:rPr>
          <w:b/>
          <w:bCs/>
        </w:rPr>
        <w:t>применения кодов бюджетной классификации, бухгалтерского учета составило 4 330,0 тыс. руб.</w:t>
      </w:r>
    </w:p>
    <w:p>
      <w:pPr>
        <w:pStyle w:val="Normal"/>
        <w:jc w:val="both"/>
        <w:rPr/>
      </w:pPr>
      <w:r>
        <w:rPr/>
      </w:r>
    </w:p>
    <w:p>
      <w:pPr>
        <w:pStyle w:val="Normal"/>
        <w:ind w:firstLine="709"/>
        <w:jc w:val="both"/>
        <w:rPr>
          <w:bCs/>
        </w:rPr>
      </w:pPr>
      <w:r>
        <w:rPr>
          <w:bCs/>
        </w:rPr>
        <w:t xml:space="preserve">4.5.11. По подразделу 0104 отражены расходы на предоставление иных межбюджетных трансфертов бюджету Октябрьского района в сумме 1 601,5 тыс. руб. </w:t>
      </w:r>
    </w:p>
    <w:p>
      <w:pPr>
        <w:pStyle w:val="Normal"/>
        <w:ind w:firstLine="709"/>
        <w:jc w:val="both"/>
        <w:rPr>
          <w:bCs/>
        </w:rPr>
      </w:pPr>
      <w:r>
        <w:rPr>
          <w:bCs/>
        </w:rPr>
        <w:t>ИМБТ предоставлены бюджету района на основании соглашения от 19.03.2025 №1/25, согласно которому целевое направление средств - содержание муниципального служащего, выполняющего переданные полномочия по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Normal"/>
        <w:ind w:firstLine="709"/>
        <w:jc w:val="both"/>
        <w:rPr>
          <w:bCs/>
        </w:rPr>
      </w:pPr>
      <w:r>
        <w:rPr>
          <w:bCs/>
        </w:rPr>
        <w:t>В соответствии с п. 18.1. Приказа №82н, письмом Минфина России от 24.04.2025 г. № 02-05-08/41590 расходы на руководство и управление в сфере установленных функций (административные расходы) следует отражать по соответствующим указанным функциям разделам и подразделам классификации расходов бюджетов, то есть расходы отраслевых (функциональных) органов администрации, наделенных правами юридического лица, следует отражать по разделам и подразделам классификации расходов бюджетов, соответствующим сферам реализуемых этими органами функций.</w:t>
      </w:r>
    </w:p>
    <w:p>
      <w:pPr>
        <w:pStyle w:val="Normal"/>
        <w:ind w:firstLine="709"/>
        <w:jc w:val="both"/>
        <w:rPr>
          <w:bCs/>
        </w:rPr>
      </w:pPr>
      <w:r>
        <w:rPr>
          <w:bCs/>
        </w:rPr>
        <w:t>Комитет по строительству, архитектуре и жизнеобеспечения администрации Октябрьского района, который исполняет полномочия по решению вопросов в области жилищно-коммунального хозяйства, наделен правами юридического лица.</w:t>
      </w:r>
    </w:p>
    <w:p>
      <w:pPr>
        <w:pStyle w:val="Normal"/>
        <w:ind w:firstLine="709"/>
        <w:jc w:val="both"/>
        <w:rPr>
          <w:bCs/>
        </w:rPr>
      </w:pPr>
      <w:r>
        <w:rPr>
          <w:bCs/>
        </w:rPr>
        <w:t xml:space="preserve">В соответствии с п. 18.2.5. Приказа № 82н расходы на обеспечение деятельности органов местного самоуправления, в полномочия которых входит решение вопросов в области жилищно-коммунального хозяйства, подлежат отражению по подразделу 0505 «Другие вопросы в области жилищно-коммунального хозяйства» классификации расходов бюджетов. </w:t>
      </w:r>
    </w:p>
    <w:p>
      <w:pPr>
        <w:pStyle w:val="Normal"/>
        <w:ind w:firstLine="708"/>
        <w:jc w:val="both"/>
        <w:rPr>
          <w:b/>
        </w:rPr>
      </w:pPr>
      <w:r>
        <w:rPr/>
        <w:t xml:space="preserve">По данным журнала №4 расходы отражены по счету 01044110089020540.1.401.20.251. </w:t>
      </w:r>
      <w:r>
        <w:rPr>
          <w:b/>
        </w:rPr>
        <w:t>Нарушение порядка применения кодов бюджетной классификации расходов бюджета, бухгалтерского учета составило 1 601,5 тыс. руб.</w:t>
      </w:r>
    </w:p>
    <w:p>
      <w:pPr>
        <w:pStyle w:val="Normal"/>
        <w:ind w:firstLine="709"/>
        <w:jc w:val="both"/>
        <w:rPr>
          <w:b/>
          <w:bCs/>
        </w:rPr>
      </w:pPr>
      <w:r>
        <w:rPr>
          <w:bCs/>
        </w:rPr>
        <w:t xml:space="preserve">Кроме того, в заключениях от 16.12.2024 №372, от 17.12.2025 №370 было указано нарушение в части отсутствия в Приложении №2 к Решению Совета депутатов городского поселения Талинка от 27.08.2019 №31 «Об утверждении порядка предоставления иных межбюджетных трансфертов из бюджета муниципального образования городское поселение Талинка бюджету муниципального образования Октябрьский район» в ред. от 19.11.2024 №44 (далее – Решение СД №44) методики расчета иных межбюджетных трансфертов на оплату задолженности за энергоресурсы, на содержание специалиста, выполняющего переданные полномочия в сфере ЖКХ. </w:t>
      </w:r>
      <w:r>
        <w:rPr>
          <w:b/>
          <w:bCs/>
        </w:rPr>
        <w:t>Нарушения не устранены.</w:t>
      </w:r>
    </w:p>
    <w:p>
      <w:pPr>
        <w:pStyle w:val="Normal"/>
        <w:jc w:val="both"/>
        <w:rPr/>
      </w:pPr>
      <w:r>
        <w:rPr/>
      </w:r>
    </w:p>
    <w:p>
      <w:pPr>
        <w:pStyle w:val="Normal"/>
        <w:ind w:firstLine="709"/>
        <w:jc w:val="both"/>
        <w:rPr/>
      </w:pPr>
      <w:r>
        <w:rPr/>
        <w:t>4.5.12. В соответствии с п. 59 Информации Минфина России «О составлении и представлении отчетов о расходах и численности работников федеральных государственных органов, государственных органов субъектов Российской Федерации, отчетов о расходах и численности работников органов местного самоуправления, утвержденных приказом Министерства финансов Российской Федерации от 28 декабря 2017 г. № 259н» от 22.05.2019, доведенной письмом Минфина России от 30.05.2019 № 14-07-05/39458 (далее – Информация) в графе «фактически начислено за отчетный период» раздела 1 Отчета по форме 14 МО «Отчет о расходах и численности работников органов местного самоуправления» (далее – Отчет по форме 14 МО) показываются начисленные за отчетный период расходы при исполнении бюджетной сметы органа местного самоуправления, оформленные соответствующими документами в установленном порядке.</w:t>
      </w:r>
    </w:p>
    <w:p>
      <w:pPr>
        <w:pStyle w:val="Normal"/>
        <w:ind w:firstLine="708"/>
        <w:jc w:val="both"/>
        <w:rPr/>
      </w:pPr>
      <w:r>
        <w:rPr/>
        <w:t>При проверке показателей отчета 14 МО установлено:</w:t>
      </w:r>
    </w:p>
    <w:p>
      <w:pPr>
        <w:pStyle w:val="Normal"/>
        <w:ind w:firstLine="708"/>
        <w:jc w:val="both"/>
        <w:rPr/>
      </w:pPr>
      <w:r>
        <w:rPr/>
        <w:t>1). В графе «фактически начислено за отчетный период» по строке 080 отражены не фактически начисленные, а кассовые расходы бюджета по данным формы 0503117 «Отчет об исполнении бюджета» в сумме 34 404,4 тыс. руб., что свидетельствует о наличии нарушений при заполнении Отчета по форме 14 МО.</w:t>
      </w:r>
    </w:p>
    <w:p>
      <w:pPr>
        <w:pStyle w:val="Normal"/>
        <w:ind w:firstLine="708"/>
        <w:jc w:val="both"/>
        <w:rPr/>
      </w:pPr>
      <w:r>
        <w:rPr/>
        <w:t>2). Из анализа форм 0503110, 0503117 установлено расхождение данных между кассовыми и начисленными расходами по счетам аналитического учета:</w:t>
      </w:r>
    </w:p>
    <w:p>
      <w:pPr>
        <w:pStyle w:val="Normal"/>
        <w:ind w:firstLine="708"/>
        <w:jc w:val="both"/>
        <w:rPr/>
      </w:pPr>
      <w:r>
        <w:rPr/>
        <w:t>- 0102 4010002030 122 1 401.20.226: начисление – 18,0 тыс. руб., кассовые –                 9,0 тыс. руб. (-9,0 тыс. руб.);</w:t>
      </w:r>
    </w:p>
    <w:p>
      <w:pPr>
        <w:pStyle w:val="Normal"/>
        <w:ind w:firstLine="708"/>
        <w:jc w:val="both"/>
        <w:rPr/>
      </w:pPr>
      <w:r>
        <w:rPr/>
        <w:t>- 0104 4010002040 122 1 401.20.226: начисление – 0,0 тыс. руб., кассовые –                 9,0 тыс. руб. (+9,0 тыс. руб.).</w:t>
      </w:r>
    </w:p>
    <w:p>
      <w:pPr>
        <w:pStyle w:val="Normal"/>
        <w:ind w:firstLine="708"/>
        <w:jc w:val="both"/>
        <w:rPr>
          <w:b/>
        </w:rPr>
      </w:pPr>
      <w:r>
        <w:rPr/>
        <w:t xml:space="preserve">Таким образом, кассовые расходы бюджета на сумму 9,0 тыс. руб. отражены по одним подразделам и целевым статьям (счетам аналитического учета), а начисленные – по другим, тем самым </w:t>
      </w:r>
      <w:r>
        <w:rPr>
          <w:b/>
        </w:rPr>
        <w:t>допущено нарушение бухгалтерского учета в сумме 9,0 тыс. руб.</w:t>
      </w:r>
    </w:p>
    <w:p>
      <w:pPr>
        <w:pStyle w:val="Normal"/>
        <w:ind w:firstLine="708"/>
        <w:jc w:val="both"/>
        <w:rPr/>
      </w:pPr>
      <w:r>
        <w:rPr/>
        <w:t>3). В строке 090 отражен резерв предстоящих расходов в сумме 1 622,1 тыс. руб., что не соответствует данным формы 0503169, согласно которым остаток по счету 1 401 60 «Резервы предстоящих расходов» на конец года составляет 1 607,6 тыс. руб., в том числе по подстатьям КОСГУ:</w:t>
      </w:r>
    </w:p>
    <w:p>
      <w:pPr>
        <w:pStyle w:val="Normal"/>
        <w:ind w:firstLine="708"/>
        <w:jc w:val="both"/>
        <w:rPr/>
      </w:pPr>
      <w:r>
        <w:rPr/>
        <w:t>- 211 – 1 218,3 тыс. руб.;</w:t>
      </w:r>
    </w:p>
    <w:p>
      <w:pPr>
        <w:pStyle w:val="Normal"/>
        <w:ind w:firstLine="708"/>
        <w:jc w:val="both"/>
        <w:rPr/>
      </w:pPr>
      <w:r>
        <w:rPr/>
        <w:t>- 213 – 389,4 тыс. руб.</w:t>
      </w:r>
    </w:p>
    <w:p>
      <w:pPr>
        <w:pStyle w:val="Normal"/>
        <w:ind w:firstLine="708"/>
        <w:jc w:val="both"/>
        <w:rPr>
          <w:bCs/>
          <w:highlight w:val="green"/>
        </w:rPr>
      </w:pPr>
      <w:r>
        <w:rPr>
          <w:bCs/>
          <w:highlight w:val="green"/>
        </w:rPr>
      </w:r>
    </w:p>
    <w:p>
      <w:pPr>
        <w:pStyle w:val="Normal"/>
        <w:ind w:firstLine="709"/>
        <w:jc w:val="both"/>
        <w:rPr>
          <w:bCs/>
        </w:rPr>
      </w:pPr>
      <w:r>
        <w:rPr/>
        <w:t xml:space="preserve">4.5.13. </w:t>
      </w:r>
      <w:r>
        <w:rPr>
          <w:bCs/>
        </w:rPr>
        <w:t>В нарушение Приказа №82н часть субсидии на муниципальное задание подведомственному учреждению (на проведение общепоселковых культурно-массовых мероприятий) в сумме 62,5 тыс. руб. отражена по счету 08044070020700611.1.401.20.241, то есть по несоответствующему подразделу 0804.</w:t>
      </w:r>
    </w:p>
    <w:p>
      <w:pPr>
        <w:pStyle w:val="Normal"/>
        <w:ind w:firstLine="709"/>
        <w:jc w:val="both"/>
        <w:rPr>
          <w:b/>
          <w:bCs/>
        </w:rPr>
      </w:pPr>
      <w:r>
        <w:rPr>
          <w:b/>
          <w:bCs/>
        </w:rPr>
        <w:t>Нарушение порядка применения кодов бюджетной классификации, бухгалтерского учета составило 62,5 тыс. руб.</w:t>
      </w:r>
    </w:p>
    <w:p>
      <w:pPr>
        <w:pStyle w:val="NormalWeb"/>
        <w:spacing w:lineRule="atLeast" w:line="288" w:beforeAutospacing="0" w:before="0" w:afterAutospacing="0" w:after="0"/>
        <w:ind w:firstLine="540"/>
        <w:jc w:val="both"/>
        <w:rPr>
          <w:highlight w:val="green"/>
        </w:rPr>
      </w:pPr>
      <w:r>
        <w:rPr>
          <w:highlight w:val="green"/>
        </w:rPr>
      </w:r>
    </w:p>
    <w:p>
      <w:pPr>
        <w:pStyle w:val="NormalWeb"/>
        <w:spacing w:lineRule="atLeast" w:line="288" w:beforeAutospacing="0" w:before="0" w:afterAutospacing="0" w:after="0"/>
        <w:ind w:firstLine="709"/>
        <w:jc w:val="both"/>
        <w:rPr/>
      </w:pPr>
      <w:r>
        <w:rPr/>
        <w:t xml:space="preserve">4.5.14. По данным Отчета об исполнении бюджета ф. 0503117 администрацией поселения осуществлены расходы по КБК 650 0501 4060099990 813 530 в сумме            2 186,5 тыс. руб. </w:t>
      </w:r>
    </w:p>
    <w:p>
      <w:pPr>
        <w:pStyle w:val="NormalWeb"/>
        <w:spacing w:lineRule="atLeast" w:line="288" w:beforeAutospacing="0" w:before="0" w:afterAutospacing="0" w:after="0"/>
        <w:ind w:firstLine="709"/>
        <w:jc w:val="both"/>
        <w:rPr/>
      </w:pPr>
      <w:r>
        <w:rPr/>
        <w:t>В соответствии с п. 53.8.2.3. Приказа №82н по элементу вида расходов 813 «Субсидии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 отражаются расходы бюджетов бюджетной системы Российской Федерации на предоставление субсидий (грантов в форме субсидий) юридическим лицам (кроме некоммерческих организаций), в том числе в целях формирования уставного фонда государственного (муниципального) унитарного предприятия, индивидуальным предпринимателям, физическим лицам - производителям товаров, работ, услуг на финансовое обеспечение затрат в связи с производством (реализацией товаров), выполнением работ, оказанием услуг.</w:t>
      </w:r>
    </w:p>
    <w:p>
      <w:pPr>
        <w:pStyle w:val="NormalWeb"/>
        <w:spacing w:lineRule="atLeast" w:line="288" w:beforeAutospacing="0" w:before="0" w:afterAutospacing="0" w:after="0"/>
        <w:ind w:firstLine="709"/>
        <w:jc w:val="both"/>
        <w:rPr/>
      </w:pPr>
      <w:r>
        <w:rPr/>
        <w:t>В соответствии с п. 13.3. Приказа №209н на статью 530 КОСГУ «Увеличение стоимости акций и иных финансовых инструментов» относятся расходы на вложения денежных средств в акции и иные финансовые инструменты, а также в уставные фонды государственных (муниципальных) унитарных предприятий.</w:t>
      </w:r>
    </w:p>
    <w:p>
      <w:pPr>
        <w:pStyle w:val="NormalWeb"/>
        <w:spacing w:lineRule="atLeast" w:line="288" w:beforeAutospacing="0" w:before="0" w:afterAutospacing="0" w:after="0"/>
        <w:ind w:firstLine="709"/>
        <w:jc w:val="both"/>
        <w:rPr/>
      </w:pPr>
      <w:r>
        <w:rPr/>
        <w:t>В соответствии с п. 1., пп. 3) п. 2., п. 3 ст. 78 БК РФ:</w:t>
      </w:r>
    </w:p>
    <w:p>
      <w:pPr>
        <w:pStyle w:val="NormalWeb"/>
        <w:spacing w:lineRule="atLeast" w:line="288" w:beforeAutospacing="0" w:before="0" w:afterAutospacing="0" w:after="0"/>
        <w:ind w:firstLine="709"/>
        <w:jc w:val="both"/>
        <w:rPr/>
      </w:pPr>
      <w:r>
        <w:rPr/>
        <w:t>- субсидии юридическим лицам (за исключением субсидий государственным (муниципальным) учреждениям)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выполнением работ, оказанием услуг;</w:t>
      </w:r>
    </w:p>
    <w:p>
      <w:pPr>
        <w:pStyle w:val="NormalWeb"/>
        <w:spacing w:lineRule="atLeast" w:line="288" w:beforeAutospacing="0" w:before="0" w:afterAutospacing="0" w:after="0"/>
        <w:ind w:firstLine="709"/>
        <w:jc w:val="both"/>
        <w:rPr/>
      </w:pPr>
      <w:r>
        <w:rPr/>
        <w:t xml:space="preserve">- субсидии юридическим лицам предоставляются из местного бюджета - в случаях, предусмотренных решением представительного органа муниципального образования о местном бюджете, в порядке, установленном муниципальными правовыми актами местной администрации или актами уполномоченных ею органов местного самоуправления, за исключением случаев, указанных в п. 2.1. ст. 78 БК РФ; </w:t>
      </w:r>
    </w:p>
    <w:p>
      <w:pPr>
        <w:pStyle w:val="NormalWeb"/>
        <w:spacing w:lineRule="atLeast" w:line="288" w:beforeAutospacing="0" w:before="0" w:afterAutospacing="0" w:after="0"/>
        <w:ind w:firstLine="709"/>
        <w:jc w:val="both"/>
        <w:rPr/>
      </w:pPr>
      <w:r>
        <w:rPr/>
        <w:t xml:space="preserve">- </w:t>
      </w:r>
      <w:bookmarkStart w:id="0" w:name="p23"/>
      <w:bookmarkEnd w:id="0"/>
      <w:r>
        <w:rPr/>
        <w:t>муниципальные правовые акты, регулирующие предоставление субсидий юридическим лицам должны соответствовать общим требованиям, установленным Правительством Российской Федерации.</w:t>
      </w:r>
    </w:p>
    <w:p>
      <w:pPr>
        <w:pStyle w:val="NormalWeb"/>
        <w:spacing w:lineRule="atLeast" w:line="288" w:beforeAutospacing="0" w:before="0" w:afterAutospacing="0" w:after="0"/>
        <w:ind w:firstLine="709"/>
        <w:jc w:val="both"/>
        <w:rPr/>
      </w:pPr>
      <w:r>
        <w:rPr/>
        <w:t xml:space="preserve">Общие требования к муниципальным правовым актам, регулирующим предоставление субсидий юридическим лицам утверждены Постановлением Правительства РФ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(далее – Постановление №1782). </w:t>
      </w:r>
    </w:p>
    <w:p>
      <w:pPr>
        <w:pStyle w:val="NormalWeb"/>
        <w:spacing w:lineRule="atLeast" w:line="288" w:beforeAutospacing="0" w:before="0" w:afterAutospacing="0" w:after="0"/>
        <w:ind w:firstLine="709"/>
        <w:jc w:val="both"/>
        <w:rPr/>
      </w:pPr>
      <w:r>
        <w:rPr/>
        <w:t>Пунктом 14 Решения о бюджете в ред. от 01.04.2025 №09 установлено, что «в соответствии со ст. 78 БК РФ за счет средств бюджета поселения на безвозмездной и безвозвратной основе могут предоставляться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осуществляющим свою деятельность на территории городского поселения Талинка в целях возмещения недополученных доходов и (или) финансового обеспечения (возмещения) затрат в связи с выполнением работ, оказанием услуг, в том числе:»</w:t>
      </w:r>
    </w:p>
    <w:p>
      <w:pPr>
        <w:pStyle w:val="NormalWeb"/>
        <w:spacing w:lineRule="atLeast" w:line="288" w:beforeAutospacing="0" w:before="0" w:afterAutospacing="0" w:after="0"/>
        <w:ind w:firstLine="709"/>
        <w:jc w:val="both"/>
        <w:rPr/>
      </w:pPr>
      <w:r>
        <w:rPr/>
        <w:t xml:space="preserve">«- на формирование Уставного фонда муниципального унитарного предприятия «Жилищно-коммунальное управление муниципального образования городского поселения Талинка», выполняющего работы, оказывающего услуги в сфере жилищно-коммунального хозяйства на территории городского поселения Талинка, в размере 1 000,0 тыс. руб. </w:t>
      </w:r>
    </w:p>
    <w:p>
      <w:pPr>
        <w:pStyle w:val="NormalWeb"/>
        <w:spacing w:lineRule="atLeast" w:line="288" w:beforeAutospacing="0" w:before="0" w:afterAutospacing="0" w:after="0"/>
        <w:ind w:firstLine="709"/>
        <w:jc w:val="both"/>
        <w:rPr/>
      </w:pPr>
      <w:r>
        <w:rPr/>
        <w:t>Субсидии юридическим лицам, индивидуальным предпринимателям и физическим лицам - производителям товаров, работ, услуг, предусмотренные настоящим пунктом, предоставляются в соответствии с порядками, установленными муниципальными правовыми актами Администрации городского поселения Талинка».</w:t>
      </w:r>
    </w:p>
    <w:p>
      <w:pPr>
        <w:pStyle w:val="NormalWeb"/>
        <w:spacing w:lineRule="atLeast" w:line="288" w:beforeAutospacing="0" w:before="0" w:afterAutospacing="0" w:after="0"/>
        <w:ind w:firstLine="709"/>
        <w:jc w:val="both"/>
        <w:rPr/>
      </w:pPr>
      <w:r>
        <w:rPr/>
        <w:t>Проект постановления администрации городского поселения Талинка «Об утверждении Порядка предоставления субсидии из бюджета муниципального образования городское поселение Талинка муниципальным унитарным предприятиям городского поселения Талинка на формирование уставного фонда при создании и (или) увеличение уставного фонда» поступал в Контрольно-счетную палату для проведения финансово-экономической экспертизы 28 марта 2025 года.</w:t>
      </w:r>
    </w:p>
    <w:p>
      <w:pPr>
        <w:pStyle w:val="NormalWeb"/>
        <w:spacing w:lineRule="atLeast" w:line="288" w:beforeAutospacing="0" w:before="0" w:afterAutospacing="0" w:after="0"/>
        <w:ind w:firstLine="709"/>
        <w:jc w:val="both"/>
        <w:rPr/>
      </w:pPr>
      <w:r>
        <w:rPr/>
        <w:t>По результатам экспертизы администрации поселения выдано заключение от 31.03.2025 №83, в котором указано о несоответствии проекта Постановлению №1782 и Федеральному закону от 14.11.2002 № 161-ФЗ «О государственных и муниципальных унитарных предприятиях» (далее – Закон №161-ФЗ) и рекомендовано привести проект в соответствие действующему законодательству.</w:t>
      </w:r>
    </w:p>
    <w:p>
      <w:pPr>
        <w:pStyle w:val="NormalWeb"/>
        <w:spacing w:lineRule="atLeast" w:line="288" w:beforeAutospacing="0" w:before="0" w:afterAutospacing="0" w:after="0"/>
        <w:ind w:firstLine="709"/>
        <w:jc w:val="both"/>
        <w:rPr/>
      </w:pPr>
      <w:r>
        <w:rPr/>
        <w:t xml:space="preserve">Порядок предоставления субсидии из бюджета муниципального образования городское поселение Талинка муниципальным унитарным предприятиям городского поселения Талинка на формирование уставного фонда при создании и (или) увеличение уставного фонда утвержден постановлением администрации городского поселения Талика от 09.04.2025 №79 (далее – Порядок предоставления субсидии) </w:t>
      </w:r>
      <w:r>
        <w:rPr>
          <w:b/>
        </w:rPr>
        <w:t>без учета заключения Контрольно-счетной палаты</w:t>
      </w:r>
      <w:r>
        <w:rPr/>
        <w:t xml:space="preserve"> и в нарушение п. 3 ст. 78 БК РФ не соответствует Постановлению №1782.</w:t>
      </w:r>
    </w:p>
    <w:p>
      <w:pPr>
        <w:pStyle w:val="NormalWeb"/>
        <w:spacing w:lineRule="atLeast" w:line="288" w:beforeAutospacing="0" w:before="0" w:afterAutospacing="0" w:after="0"/>
        <w:ind w:firstLine="709"/>
        <w:jc w:val="both"/>
        <w:rPr/>
      </w:pPr>
      <w:r>
        <w:rPr/>
        <w:t>В соответствии со ст. 13 №161-ФЗ:</w:t>
      </w:r>
    </w:p>
    <w:p>
      <w:pPr>
        <w:pStyle w:val="NormalWeb"/>
        <w:spacing w:lineRule="atLeast" w:line="288" w:beforeAutospacing="0" w:before="0" w:afterAutospacing="0" w:after="0"/>
        <w:ind w:firstLine="709"/>
        <w:jc w:val="both"/>
        <w:rPr/>
      </w:pPr>
      <w:r>
        <w:rPr/>
        <w:t>- уставный фонд государственного или муниципального предприятия должен быть полностью сформирован собственником его имущества в течение трех месяцев с момента государственной регистрации такого предприятия;</w:t>
      </w:r>
    </w:p>
    <w:p>
      <w:pPr>
        <w:pStyle w:val="NormalWeb"/>
        <w:spacing w:lineRule="atLeast" w:line="288" w:beforeAutospacing="0" w:before="0" w:afterAutospacing="0" w:after="0"/>
        <w:ind w:firstLine="709"/>
        <w:jc w:val="both"/>
        <w:rPr/>
      </w:pPr>
      <w:r>
        <w:rPr/>
        <w:t>- уставный фонд считается сформированным с момента зачисления соответствующих денежных сумм на открываемый в этих целях банковский счет и (или) передачи в установленном порядке государственному или муниципальному предприятию иного имущества, закрепляемого за ним на праве хозяйственного ведения, в полном объеме.</w:t>
      </w:r>
    </w:p>
    <w:p>
      <w:pPr>
        <w:pStyle w:val="Normal"/>
        <w:suppressAutoHyphens w:val="true"/>
        <w:ind w:firstLine="708"/>
        <w:jc w:val="both"/>
        <w:rPr/>
      </w:pPr>
      <w:r>
        <w:rPr/>
        <w:t>Постановлением администрации городского поселения Талинка от 19.02.2025 №42 «О создании Муниципального унитарного предприятия «Жилищно-коммунальное управление муниципального образования городского поселения Талинка» утверждено:</w:t>
      </w:r>
    </w:p>
    <w:p>
      <w:pPr>
        <w:pStyle w:val="Normal"/>
        <w:suppressAutoHyphens w:val="true"/>
        <w:ind w:firstLine="708"/>
        <w:jc w:val="both"/>
        <w:rPr/>
      </w:pPr>
      <w:r>
        <w:rPr/>
        <w:t>- создать Муниципальное унитарное предприятие «Жилищно-коммунальное управление муниципального образования городского поселения Талинка» (далее – МУП «ЖКУ», Предприятие);</w:t>
      </w:r>
    </w:p>
    <w:p>
      <w:pPr>
        <w:pStyle w:val="Normal"/>
        <w:suppressAutoHyphens w:val="true"/>
        <w:ind w:firstLine="708"/>
        <w:jc w:val="both"/>
        <w:rPr/>
      </w:pPr>
      <w:r>
        <w:rPr/>
        <w:t>- сформировать уставный фонд Предприятия в размере 1 000,0 тыс. руб.;</w:t>
      </w:r>
    </w:p>
    <w:p>
      <w:pPr>
        <w:pStyle w:val="Normal"/>
        <w:suppressAutoHyphens w:val="true"/>
        <w:ind w:firstLine="708"/>
        <w:jc w:val="both"/>
        <w:rPr/>
      </w:pPr>
      <w:r>
        <w:rPr/>
        <w:t>- утвердить Устав Предприятия.</w:t>
      </w:r>
    </w:p>
    <w:p>
      <w:pPr>
        <w:pStyle w:val="Normal"/>
        <w:suppressAutoHyphens w:val="true"/>
        <w:ind w:firstLine="708"/>
        <w:jc w:val="both"/>
        <w:rPr>
          <w:lang w:eastAsia="zh-CN"/>
        </w:rPr>
      </w:pPr>
      <w:r>
        <w:rPr/>
        <w:t>Предприятие поставлено на учет в налоговом органе 05.03.2025.</w:t>
      </w:r>
    </w:p>
    <w:p>
      <w:pPr>
        <w:pStyle w:val="Normal"/>
        <w:ind w:firstLine="708"/>
        <w:jc w:val="both"/>
        <w:rPr/>
      </w:pPr>
      <w:r>
        <w:rPr>
          <w:bCs/>
        </w:rPr>
        <w:t>На основании постановления от 10.04.2025 №82 «О выделении денежных средств на формирование Уставного фонда м</w:t>
      </w:r>
      <w:r>
        <w:rPr/>
        <w:t>униципального унитарного предприятия «Жилищно-коммунальное управление муниципального образования городского поселения Талинка»», соглашения № 1 от 10.04.2025 платежным поручением от 16.04.2025 №456250 средства субсидии на формирование уставного фонда в сумме 1 000,0 тыс. руб. перечислены на расчетный счет Предприятия.</w:t>
      </w:r>
    </w:p>
    <w:p>
      <w:pPr>
        <w:pStyle w:val="NormalWeb"/>
        <w:spacing w:lineRule="atLeast" w:line="288" w:beforeAutospacing="0" w:before="0" w:afterAutospacing="0" w:after="0"/>
        <w:ind w:firstLine="709"/>
        <w:jc w:val="both"/>
        <w:rPr/>
      </w:pPr>
      <w:r>
        <w:rPr/>
        <w:t>В соответствии со ст. 14 Закона №161-ФЗ:</w:t>
      </w:r>
    </w:p>
    <w:p>
      <w:pPr>
        <w:pStyle w:val="NormalWeb"/>
        <w:spacing w:lineRule="atLeast" w:line="288" w:beforeAutospacing="0" w:before="0" w:afterAutospacing="0" w:after="0"/>
        <w:ind w:firstLine="709"/>
        <w:jc w:val="both"/>
        <w:rPr/>
      </w:pPr>
      <w:r>
        <w:rPr/>
        <w:t xml:space="preserve">- увеличение уставного фонда государственного или муниципального предприятия допускается только после его формирования в полном объеме, в том числе после передачи государственному или муниципальному предприятию недвижимого и иного имущества, предназначенного для закрепления за ним на праве хозяйственного ведения, </w:t>
      </w:r>
    </w:p>
    <w:p>
      <w:pPr>
        <w:pStyle w:val="NormalWeb"/>
        <w:spacing w:lineRule="atLeast" w:line="288" w:beforeAutospacing="0" w:before="0" w:afterAutospacing="0" w:after="0"/>
        <w:ind w:firstLine="709"/>
        <w:jc w:val="both"/>
        <w:rPr/>
      </w:pPr>
      <w:r>
        <w:rPr/>
        <w:t>- увеличение уставного фонда государственного или муниципального предприятия может осуществляться за счет дополнительно передаваемого собственником имущества, а также доходов, полученных в результате деятельности такого предприятия;</w:t>
      </w:r>
    </w:p>
    <w:p>
      <w:pPr>
        <w:pStyle w:val="NormalWeb"/>
        <w:spacing w:lineRule="atLeast" w:line="288" w:beforeAutospacing="0" w:before="0" w:afterAutospacing="0" w:after="0"/>
        <w:ind w:firstLine="709"/>
        <w:jc w:val="both"/>
        <w:rPr/>
      </w:pPr>
      <w:r>
        <w:rPr/>
        <w:t>- решение об увеличении уставного фонда государственного или муниципального предприятия может быть принято собственником его имущества только на основании данных утвержденной годовой бухгалтерской (финансовой) отчетности такого предприятия за истекший финансовый год;</w:t>
      </w:r>
    </w:p>
    <w:p>
      <w:pPr>
        <w:pStyle w:val="NormalWeb"/>
        <w:spacing w:lineRule="atLeast" w:line="288" w:beforeAutospacing="0" w:before="0" w:afterAutospacing="0" w:after="0"/>
        <w:ind w:firstLine="709"/>
        <w:jc w:val="both"/>
        <w:rPr/>
      </w:pPr>
      <w:r>
        <w:rPr/>
        <w:t>- размер уставного фонда государственного или муниципального предприятия с учетом размера его резервного фонда не может превышать стоимость чистых активов такого предприятия;</w:t>
      </w:r>
    </w:p>
    <w:p>
      <w:pPr>
        <w:pStyle w:val="NormalWeb"/>
        <w:spacing w:lineRule="atLeast" w:line="288" w:beforeAutospacing="0" w:before="0" w:afterAutospacing="0" w:after="0"/>
        <w:ind w:firstLine="709"/>
        <w:jc w:val="both"/>
        <w:rPr/>
      </w:pPr>
      <w:r>
        <w:rPr/>
        <w:t>- одновременно с принятием решения об увеличении уставного фонда государственного или муниципального предприятия собственник его имущества принимает решение о внесении соответствующих изменений в устав такого предприятия;</w:t>
      </w:r>
    </w:p>
    <w:p>
      <w:pPr>
        <w:pStyle w:val="NormalWeb"/>
        <w:spacing w:lineRule="atLeast" w:line="288" w:beforeAutospacing="0" w:before="0" w:afterAutospacing="0" w:after="0"/>
        <w:ind w:firstLine="709"/>
        <w:jc w:val="both"/>
        <w:rPr/>
      </w:pPr>
      <w:r>
        <w:rPr/>
        <w:t>- документы для государственной регистрации внесенных в устав государственного или муниципального предприятия изменений в связи с увеличением его уставного фонда, а также документы, подтверждающие увеличение уставного фонда государственного или муниципального предприятия, должны быть представлены в орган, осуществляющий государственную регистрацию юридических лиц;</w:t>
      </w:r>
    </w:p>
    <w:p>
      <w:pPr>
        <w:pStyle w:val="NormalWeb"/>
        <w:spacing w:lineRule="atLeast" w:line="288" w:beforeAutospacing="0" w:before="0" w:afterAutospacing="0" w:after="0"/>
        <w:ind w:firstLine="709"/>
        <w:jc w:val="both"/>
        <w:rPr/>
      </w:pPr>
      <w:r>
        <w:rPr/>
        <w:t xml:space="preserve">- непредставление указанных в настоящем пункте документов является основанием для отказа в государственной регистрации внесенных в устав государственного или муниципального предприятия изменений. </w:t>
      </w:r>
    </w:p>
    <w:p>
      <w:pPr>
        <w:pStyle w:val="Normal"/>
        <w:ind w:firstLine="708"/>
        <w:jc w:val="both"/>
        <w:rPr>
          <w:bCs/>
        </w:rPr>
      </w:pPr>
      <w:r>
        <w:rPr>
          <w:bCs/>
        </w:rPr>
        <w:t>Предприятием в адрес администрации поселения направлены заявления:</w:t>
      </w:r>
    </w:p>
    <w:p>
      <w:pPr>
        <w:pStyle w:val="Normal"/>
        <w:ind w:firstLine="708"/>
        <w:jc w:val="both"/>
        <w:rPr>
          <w:bCs/>
        </w:rPr>
      </w:pPr>
      <w:r>
        <w:rPr>
          <w:bCs/>
        </w:rPr>
        <w:t>- от 22.09.2025 №85-исх-26/25 о предоставлении субсидии в сумме 736,0 тыс. руб. на увеличение Уставного фонда;</w:t>
      </w:r>
    </w:p>
    <w:p>
      <w:pPr>
        <w:pStyle w:val="Normal"/>
        <w:ind w:firstLine="708"/>
        <w:jc w:val="both"/>
        <w:rPr>
          <w:bCs/>
        </w:rPr>
      </w:pPr>
      <w:r>
        <w:rPr>
          <w:bCs/>
        </w:rPr>
        <w:t>- от 30.09.2025 №85-исх-33/25 о предоставлении субсидии в сумме 450,5 тыс. руб. на увеличение Уставного фонда.</w:t>
      </w:r>
    </w:p>
    <w:p>
      <w:pPr>
        <w:pStyle w:val="Normal"/>
        <w:ind w:firstLine="708"/>
        <w:jc w:val="both"/>
        <w:rPr>
          <w:bCs/>
        </w:rPr>
      </w:pPr>
      <w:r>
        <w:rPr>
          <w:bCs/>
        </w:rPr>
        <w:t>К заявлениям приложены:</w:t>
      </w:r>
    </w:p>
    <w:p>
      <w:pPr>
        <w:pStyle w:val="Normal"/>
        <w:ind w:firstLine="708"/>
        <w:jc w:val="both"/>
        <w:rPr>
          <w:bCs/>
        </w:rPr>
      </w:pPr>
      <w:r>
        <w:rPr>
          <w:bCs/>
        </w:rPr>
        <w:t>- копия свидетельства о постановке на учет в налоговом органе;</w:t>
      </w:r>
    </w:p>
    <w:p>
      <w:pPr>
        <w:pStyle w:val="Normal"/>
        <w:ind w:firstLine="708"/>
        <w:jc w:val="both"/>
        <w:rPr>
          <w:bCs/>
        </w:rPr>
      </w:pPr>
      <w:r>
        <w:rPr>
          <w:bCs/>
        </w:rPr>
        <w:t>- выписка из лицензии;</w:t>
      </w:r>
    </w:p>
    <w:p>
      <w:pPr>
        <w:pStyle w:val="Normal"/>
        <w:ind w:firstLine="708"/>
        <w:jc w:val="both"/>
        <w:rPr>
          <w:bCs/>
        </w:rPr>
      </w:pPr>
      <w:r>
        <w:rPr>
          <w:bCs/>
        </w:rPr>
        <w:t>- уведомление о переходе на упрощенную систему налогообложения;</w:t>
      </w:r>
    </w:p>
    <w:p>
      <w:pPr>
        <w:pStyle w:val="Normal"/>
        <w:ind w:firstLine="708"/>
        <w:jc w:val="both"/>
        <w:rPr>
          <w:bCs/>
        </w:rPr>
      </w:pPr>
      <w:r>
        <w:rPr>
          <w:bCs/>
        </w:rPr>
        <w:t>- справка, подписанная директором предприятия, о том, что претенденту на получение субсидии не предоставлялось имущество (ценные бумаги, имущественные и другие права), за счет которых может формироваться уставный фонд муниципального унитарного предприятия;</w:t>
      </w:r>
    </w:p>
    <w:p>
      <w:pPr>
        <w:pStyle w:val="Normal"/>
        <w:ind w:firstLine="708"/>
        <w:jc w:val="both"/>
        <w:rPr>
          <w:bCs/>
        </w:rPr>
      </w:pPr>
      <w:r>
        <w:rPr>
          <w:bCs/>
        </w:rPr>
        <w:t>- справка, подписанная директором предприятия, о том, что предприятие не находится в процессе ликвидации, реорганизации, в отношении предприятия не введена процедура банкротства, деятельность не приостановлена;</w:t>
      </w:r>
    </w:p>
    <w:p>
      <w:pPr>
        <w:pStyle w:val="Normal"/>
        <w:ind w:firstLine="708"/>
        <w:jc w:val="both"/>
        <w:rPr>
          <w:bCs/>
        </w:rPr>
      </w:pPr>
      <w:r>
        <w:rPr>
          <w:bCs/>
        </w:rPr>
        <w:t>- пояснительные записки, в которых указано, что на обслуживании предприятия находится один многоквартирный дом, доходы, получаемые от собственников жилых помещений, не обеспечивают полного покрытия расходов на содержание и ремонт общего имущества, оплату коммунальных ресурсов, налоговые и обязательные платежи, а также фонд оплаты труда сотрудников, для поддержания финансовой устойчивости требуется увеличение уставного фонда за счет предоставления бюджетных средств.</w:t>
      </w:r>
    </w:p>
    <w:p>
      <w:pPr>
        <w:pStyle w:val="Normal"/>
        <w:ind w:firstLine="708"/>
        <w:jc w:val="both"/>
        <w:rPr>
          <w:bCs/>
        </w:rPr>
      </w:pPr>
      <w:r>
        <w:rPr>
          <w:b/>
          <w:bCs/>
        </w:rPr>
        <w:t>В нарушение ст. 14 Закона №161-ФЗ, п. 2.3.8. Порядка предоставления субсидии</w:t>
      </w:r>
      <w:r>
        <w:rPr>
          <w:bCs/>
        </w:rPr>
        <w:t xml:space="preserve"> в составе документов отсутствует копия утвержденной годовой бухгалтерской отчетности за истекший финансовый год муниципального предприятия, а также информации о наличии дебиторской и кредиторской задолженности.</w:t>
      </w:r>
    </w:p>
    <w:p>
      <w:pPr>
        <w:pStyle w:val="Normal"/>
        <w:ind w:firstLine="708"/>
        <w:jc w:val="both"/>
        <w:rPr>
          <w:bCs/>
        </w:rPr>
      </w:pPr>
      <w:r>
        <w:rPr>
          <w:b/>
          <w:bCs/>
        </w:rPr>
        <w:t>В нарушение п. 3 ст. 78 БК РФ, ст. 14 Закона №161-ФЗ, п. 14 Решения о бюджете</w:t>
      </w:r>
      <w:r>
        <w:rPr>
          <w:bCs/>
        </w:rPr>
        <w:t>, в ведомственную структуру расходов бюджета внесены изменения, в части увеличения суммы субсидии:</w:t>
      </w:r>
    </w:p>
    <w:p>
      <w:pPr>
        <w:pStyle w:val="Normal"/>
        <w:ind w:firstLine="708"/>
        <w:jc w:val="both"/>
        <w:rPr>
          <w:bCs/>
        </w:rPr>
      </w:pPr>
      <w:r>
        <w:rPr>
          <w:bCs/>
        </w:rPr>
        <w:t>- решением Совета депутатов от 23.09.2025 № 26 – до 1 736,0 тыс. руб.;</w:t>
      </w:r>
    </w:p>
    <w:p>
      <w:pPr>
        <w:pStyle w:val="Normal"/>
        <w:ind w:firstLine="708"/>
        <w:jc w:val="both"/>
        <w:rPr>
          <w:bCs/>
        </w:rPr>
      </w:pPr>
      <w:r>
        <w:rPr>
          <w:bCs/>
        </w:rPr>
        <w:t>- решением Совета депутатов от 09.10.2025 №27 – до 2 186,5 тыс. руб. (без учета заключения Контрольно-счетной палаты от 07.10.2025 №291)</w:t>
      </w:r>
    </w:p>
    <w:p>
      <w:pPr>
        <w:pStyle w:val="Normal"/>
        <w:ind w:firstLine="708"/>
        <w:jc w:val="both"/>
        <w:rPr/>
      </w:pPr>
      <w:r>
        <w:rPr>
          <w:bCs/>
        </w:rPr>
        <w:t>На основании постановления от 25.09.2025 №235 «О выделении денежных средств на увеличении Уставного фонда м</w:t>
      </w:r>
      <w:r>
        <w:rPr/>
        <w:t>униципального унитарного предприятия «Жилищно-коммунальное управление муниципального образования городского поселения Талинка»», соглашения № 2 от 26.09.2025 платежным поручением от 01.10.2025 №280996 средства субсидии на увеличение уставного фонда в сумме 736,0 тыс. руб. перечислены на расчетный счет Предприятия.</w:t>
      </w:r>
    </w:p>
    <w:p>
      <w:pPr>
        <w:pStyle w:val="Normal"/>
        <w:ind w:firstLine="708"/>
        <w:jc w:val="both"/>
        <w:rPr/>
      </w:pPr>
      <w:r>
        <w:rPr>
          <w:bCs/>
        </w:rPr>
        <w:t>На основании постановления от 14.10.2025 №254 «О выделении денежных средств на увеличении Уставного фонда м</w:t>
      </w:r>
      <w:r>
        <w:rPr/>
        <w:t>униципального унитарного предприятия «Жилищно-коммунальное управление муниципального образования городского поселения Талинка»», соглашения № 3 от 14.10.2025 платежным поручением от 24.10.2025 №406646 средства субсидии на увеличение уставного фонда в сумме 450,5 тыс. руб. перечислены на расчетный счет Предприятия.</w:t>
      </w:r>
    </w:p>
    <w:p>
      <w:pPr>
        <w:pStyle w:val="Normal"/>
        <w:ind w:firstLine="708"/>
        <w:jc w:val="both"/>
        <w:rPr/>
      </w:pPr>
      <w:r>
        <w:rPr/>
        <w:t>В соответствии с п. 3 Порядка предоставления субсидии по результатам использования субсидии Получатель субсидии предоставляет Администрации отчет об использовании средств субсидии из бюджета муниципального образования городское поселение Талинка, в соответствии с заключенным Соглашением и справку, подписанную руководителем и главным бухгалтером предприятия, подтверждающую формирование или увеличение уставного фонда в полном объеме, промежуточный бухгалтерский баланс (не позднее 30 дней со дня окончания квартала, в котором перечислена субсидия).</w:t>
      </w:r>
    </w:p>
    <w:p>
      <w:pPr>
        <w:pStyle w:val="Normal"/>
        <w:ind w:firstLine="708"/>
        <w:jc w:val="both"/>
        <w:rPr/>
      </w:pPr>
      <w:r>
        <w:rPr/>
        <w:t>Отчет о расходовании средств субсидии в ходе внешней проверки не предоставлен.</w:t>
      </w:r>
    </w:p>
    <w:p>
      <w:pPr>
        <w:pStyle w:val="Normal"/>
        <w:ind w:firstLine="708"/>
        <w:jc w:val="both"/>
        <w:rPr/>
      </w:pPr>
      <w:r>
        <w:rPr/>
        <w:t xml:space="preserve">В нарушение ст. 14 Закона №161-ФЗ, соответствующие изменения в устав Предприятия не внесены. По данным выписки из Единого государственного реестра юридических лиц по состоянию на 23.03.2026 года уставный фонд МУП «ЖКУ» составляет 1 000,0 руб., </w:t>
      </w:r>
    </w:p>
    <w:p>
      <w:pPr>
        <w:pStyle w:val="Normal"/>
        <w:ind w:firstLine="708"/>
        <w:jc w:val="both"/>
        <w:rPr/>
      </w:pPr>
      <w:r>
        <w:rPr/>
        <w:t>Таким образом, администрацией поселения нарушены следующие условия предоставления субсидии:</w:t>
      </w:r>
    </w:p>
    <w:p>
      <w:pPr>
        <w:pStyle w:val="NormalWeb"/>
        <w:spacing w:lineRule="atLeast" w:line="288" w:beforeAutospacing="0" w:before="0" w:afterAutospacing="0" w:after="0"/>
        <w:ind w:firstLine="709"/>
        <w:jc w:val="both"/>
        <w:rPr/>
      </w:pPr>
      <w:r>
        <w:rPr/>
        <w:t>- п. 2 ст. 14 Закона №161-ФЗ: увеличение уставного фонда государственного или муниципального предприятия может осуществляться за счет дополнительно передаваемого собственником имущества, а также доходов, полученных в результате деятельности такого предприятия (принято решение об увеличении уставного фонда путем предоставления денежных средств);</w:t>
      </w:r>
    </w:p>
    <w:p>
      <w:pPr>
        <w:pStyle w:val="NormalWeb"/>
        <w:spacing w:lineRule="atLeast" w:line="288" w:beforeAutospacing="0" w:before="0" w:afterAutospacing="0" w:after="0"/>
        <w:ind w:firstLine="709"/>
        <w:jc w:val="both"/>
        <w:rPr/>
      </w:pPr>
      <w:r>
        <w:rPr/>
        <w:t>- п. 3 ст. 14 Закона №161-ФЗ: решение об увеличении уставного фонда государственного или муниципального предприятия может быть принято собственником его имущества только на основании данных утвержденной годовой бухгалтерской (финансовой) отчетности такого предприятия за истекший финансовый год (решение о увеличении уставного фонда принято по истечении 6-7 месяцев с даты создания Предприятия);</w:t>
      </w:r>
    </w:p>
    <w:p>
      <w:pPr>
        <w:pStyle w:val="Normal"/>
        <w:ind w:firstLine="708"/>
        <w:jc w:val="both"/>
        <w:rPr/>
      </w:pPr>
      <w:r>
        <w:rPr/>
        <w:t>- пп. 3) п. 2 ст. 78 БК РФ: субсидии юридическим лицам предоставляются из местного бюджета - в случаях, предусмотренных решением представительного органа муниципального образования о местном бюджете (п. 14 Решения о бюджете предусмотрено предоставление субсидии на формирование уставного фонда в размере 1 000,0 тыс. руб., предоставление субсидии на увеличение уставного фонда Решением о бюджете не утверждено);</w:t>
      </w:r>
    </w:p>
    <w:p>
      <w:pPr>
        <w:pStyle w:val="Normal"/>
        <w:ind w:firstLine="708"/>
        <w:jc w:val="both"/>
        <w:rPr/>
      </w:pPr>
      <w:r>
        <w:rPr/>
        <w:t>- п. 3 ст. 78 БК РФ: муниципальные правовые акты, регулирующие предоставление субсидий юридическим лицам должны соответствовать общим требованиям, установленным Правительством Российской Федерации (Порядок предоставления субсидии не соответствует общим требованиям, утвержденным Постановлением №1782);</w:t>
      </w:r>
    </w:p>
    <w:p>
      <w:pPr>
        <w:pStyle w:val="Normal"/>
        <w:ind w:firstLine="708"/>
        <w:jc w:val="both"/>
        <w:rPr/>
      </w:pPr>
      <w:r>
        <w:rPr/>
        <w:t>- п. 4 ст. 14 Закона №161-ФЗ: одновременно с принятием решения об увеличении уставного фонда государственного или муниципального предприятия собственник его имущества принимает решение о внесении соответствующих изменений в устав такого предприятия, документы для государственной регистрации внесенных в устав государственного или муниципального предприятия изменений в связи с увеличением его уставного фонда, а также документы, подтверждающие увеличение уставного фонда государственного или муниципального предприятия, должны быть представлены в орган, осуществляющий государственную регистрацию юридических лиц (меры по внесению изменений в устав МУП «ЖКУ», документы, подтверждающие увеличение уставного фонда отсутствуют).</w:t>
      </w:r>
    </w:p>
    <w:p>
      <w:pPr>
        <w:pStyle w:val="Normal"/>
        <w:ind w:firstLine="708"/>
        <w:jc w:val="both"/>
        <w:rPr/>
      </w:pPr>
      <w:r>
        <w:rPr/>
        <w:t>В соответствии с п. 3.1. ст. 78 БК РФ в случае нарушения получателями субсидий условий, установленных при их предоставлении, соответствующие средства подлежат возврату в соответствующий бюджет бюджетной системы Российской Федерации.</w:t>
      </w:r>
    </w:p>
    <w:p>
      <w:pPr>
        <w:pStyle w:val="Normal"/>
        <w:ind w:firstLine="708"/>
        <w:jc w:val="both"/>
        <w:rPr/>
      </w:pPr>
      <w:r>
        <w:rPr/>
        <w:t>В соответствии с п. 4.2. Порядка предоставления субсидии в случае установления фактов нарушения условий, целей и порядка предоставления субсидии, администрация поселения в течение 5 (пяти) рабочих дней с даты выявления указанного факта должна направить в адрес Получателя субсидии письменное требование о возврате средств субсидии.</w:t>
      </w:r>
    </w:p>
    <w:p>
      <w:pPr>
        <w:pStyle w:val="Normal"/>
        <w:ind w:firstLine="708"/>
        <w:jc w:val="both"/>
        <w:rPr>
          <w:b/>
        </w:rPr>
      </w:pPr>
      <w:r>
        <w:rPr>
          <w:b/>
        </w:rPr>
        <w:t>В нарушение ст. 14 Закона №161-ФЗ, ст. 78 БК РФ, п. 14 Решения о бюджете администрацией поселения допущено неправомерное, необоснованное расходование бюджетных средств на предоставление субсидии МУП «ЖКУ» на увеличение уставного фонда в сумме 1 186,0 тыс. руб., которые в соответствии с положениями п. 3.1. ст. 78 БК РФ, п. 4.2. Порядка предоставления субсидии подлежат возврату в бюджет поселения.</w:t>
      </w:r>
    </w:p>
    <w:p>
      <w:pPr>
        <w:pStyle w:val="Normal"/>
        <w:ind w:firstLine="708"/>
        <w:jc w:val="both"/>
        <w:rPr/>
      </w:pPr>
      <w:r>
        <w:rPr/>
        <w:t xml:space="preserve">В соответствии с ч. 1 ст. 15.15.5. Кодекса Российской Федерации об административных правонарушениях (далее – КоАП)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 является административным правонарушением. </w:t>
      </w:r>
    </w:p>
    <w:p>
      <w:pPr>
        <w:pStyle w:val="Normal"/>
        <w:ind w:firstLine="708"/>
        <w:jc w:val="both"/>
        <w:rPr>
          <w:b/>
        </w:rPr>
      </w:pPr>
      <w:r>
        <w:rPr>
          <w:b/>
        </w:rPr>
        <w:t>Таким образом, должностными лицами органов местного самоуправления городского поселения Талинка допущено административное правонарушение по ч. 1 ст. 15.15.5 КоАП, выразившееся в нарушении условий предоставления субсидии из местного бюджета.</w:t>
      </w:r>
    </w:p>
    <w:p>
      <w:pPr>
        <w:pStyle w:val="NormalWeb"/>
        <w:spacing w:lineRule="atLeast" w:line="288" w:beforeAutospacing="0" w:before="0" w:afterAutospacing="0" w:after="0"/>
        <w:ind w:firstLine="540"/>
        <w:jc w:val="both"/>
        <w:rPr/>
      </w:pPr>
      <w:r>
        <w:rPr/>
      </w:r>
    </w:p>
    <w:p>
      <w:pPr>
        <w:pStyle w:val="Normal"/>
        <w:ind w:firstLine="708"/>
        <w:jc w:val="both"/>
        <w:rPr>
          <w:bCs/>
        </w:rPr>
      </w:pPr>
      <w:r>
        <w:rPr>
          <w:b/>
          <w:bCs/>
        </w:rPr>
        <w:t>4.6. Замечание к годовому отчету об исполнении бюджета</w:t>
      </w:r>
      <w:r>
        <w:rPr>
          <w:bCs/>
        </w:rPr>
        <w:t>: состав приложений к годовому отчету превышает перечень, установленный п. 2 ст. 12 Положения об отдельных вопросах организации и осуществления бюджетного процесса в муниципальном образовании городское поселение Талинка, утвержденного решением Совета депутатов от 30.09.2014 № 26 в ред. от 29.08.2023 (далее – Положение о бюджетном процессе), остальные замечания к Проекту устранены в ходе экспертизы.</w:t>
      </w:r>
    </w:p>
    <w:p>
      <w:pPr>
        <w:pStyle w:val="Normal"/>
        <w:ind w:firstLine="708"/>
        <w:rPr>
          <w:bCs/>
        </w:rPr>
      </w:pPr>
      <w:r>
        <w:rPr>
          <w:bCs/>
        </w:rPr>
      </w:r>
    </w:p>
    <w:p>
      <w:pPr>
        <w:pStyle w:val="Normal"/>
        <w:ind w:firstLine="284"/>
        <w:jc w:val="center"/>
        <w:rPr>
          <w:b/>
        </w:rPr>
      </w:pPr>
      <w:r>
        <w:rPr>
          <w:b/>
        </w:rPr>
        <w:t>Выводы:</w:t>
      </w:r>
    </w:p>
    <w:p>
      <w:pPr>
        <w:pStyle w:val="Normal"/>
        <w:ind w:firstLine="708"/>
        <w:jc w:val="both"/>
        <w:rPr>
          <w:bCs/>
        </w:rPr>
      </w:pPr>
      <w:r>
        <w:rPr>
          <w:bCs/>
        </w:rPr>
        <w:t xml:space="preserve">1. Основные характеристики бюджета муниципального образования городское поселение Талинка соответствуют требованиям БК РФ, соблюдены предельные значения (ограничения) по основным показателям, в том числе требования к сбалансированности бюджета. </w:t>
      </w:r>
    </w:p>
    <w:p>
      <w:pPr>
        <w:pStyle w:val="Normal"/>
        <w:ind w:firstLine="708"/>
        <w:jc w:val="both"/>
        <w:rPr>
          <w:bCs/>
        </w:rPr>
      </w:pPr>
      <w:r>
        <w:rPr>
          <w:bCs/>
        </w:rPr>
        <w:t>2. Данные годового отчета об исполнении бюджета соответствуют данным годовой бюджетной отчетности.</w:t>
      </w:r>
    </w:p>
    <w:p>
      <w:pPr>
        <w:pStyle w:val="Normal"/>
        <w:ind w:firstLine="708"/>
        <w:jc w:val="both"/>
        <w:rPr>
          <w:bCs/>
        </w:rPr>
      </w:pPr>
      <w:r>
        <w:rPr>
          <w:bCs/>
        </w:rPr>
        <w:t>3. Состав форм годовой бюджетной отчетности, в целом, соответствует требованиям, установленным бюджетным законодательством, при этом в содержании форм имеют место: нарушения Инструкции №191н, Приказа №209н, Приказа №82н, Приказа №85н, несоответствие данных, факты, свидетельствующие о наличии нарушений бухгалтерского учета.</w:t>
      </w:r>
    </w:p>
    <w:p>
      <w:pPr>
        <w:pStyle w:val="Normal"/>
        <w:tabs>
          <w:tab w:val="clear" w:pos="708"/>
          <w:tab w:val="left" w:pos="1129" w:leader="none"/>
        </w:tabs>
        <w:ind w:firstLine="708"/>
        <w:jc w:val="both"/>
        <w:rPr/>
      </w:pPr>
      <w:r>
        <w:rPr>
          <w:bCs/>
        </w:rPr>
        <w:t>4. А</w:t>
      </w:r>
      <w:r>
        <w:rPr/>
        <w:t>дминистрацией поселения допущены нарушения:</w:t>
      </w:r>
    </w:p>
    <w:p>
      <w:pPr>
        <w:pStyle w:val="Normal"/>
        <w:ind w:firstLine="708"/>
        <w:jc w:val="both"/>
        <w:rPr>
          <w:bCs/>
        </w:rPr>
      </w:pPr>
      <w:r>
        <w:rPr>
          <w:bCs/>
        </w:rPr>
        <w:t>- порядка применения кодов бюджетной классификации;</w:t>
      </w:r>
    </w:p>
    <w:p>
      <w:pPr>
        <w:pStyle w:val="Normal"/>
        <w:ind w:firstLine="708"/>
        <w:jc w:val="both"/>
        <w:rPr>
          <w:bCs/>
        </w:rPr>
      </w:pPr>
      <w:r>
        <w:rPr>
          <w:bCs/>
        </w:rPr>
        <w:t>- порядка применения классификации операций сектора государственного управления;</w:t>
      </w:r>
    </w:p>
    <w:p>
      <w:pPr>
        <w:pStyle w:val="Normal"/>
        <w:ind w:firstLine="708"/>
        <w:jc w:val="both"/>
        <w:rPr>
          <w:bCs/>
        </w:rPr>
      </w:pPr>
      <w:r>
        <w:rPr>
          <w:bCs/>
        </w:rPr>
        <w:t>- бухгалтерского учета на сумму 40 437,7 тыс. руб.;</w:t>
      </w:r>
    </w:p>
    <w:p>
      <w:pPr>
        <w:pStyle w:val="Normal"/>
        <w:ind w:firstLine="708"/>
        <w:jc w:val="both"/>
        <w:rPr>
          <w:bCs/>
        </w:rPr>
      </w:pPr>
      <w:r>
        <w:rPr>
          <w:b/>
          <w:bCs/>
        </w:rPr>
        <w:t>-</w:t>
      </w:r>
      <w:r>
        <w:rPr>
          <w:bCs/>
        </w:rPr>
        <w:t xml:space="preserve"> неэффективное расходование бюджетных средств в сумме 225,8 тыс. руб.;</w:t>
      </w:r>
    </w:p>
    <w:p>
      <w:pPr>
        <w:pStyle w:val="Normal"/>
        <w:ind w:firstLine="708"/>
        <w:jc w:val="both"/>
        <w:rPr>
          <w:bCs/>
        </w:rPr>
      </w:pPr>
      <w:r>
        <w:rPr>
          <w:bCs/>
        </w:rPr>
        <w:t>- п. 2 ст. 160.1 БК РФ, ч. 6 ст. 34 Закона №44-ФЗ, условий муниципальных контрактов при списании начисленной неустойки за нарушение сроков исполнения обязательств</w:t>
      </w:r>
    </w:p>
    <w:p>
      <w:pPr>
        <w:pStyle w:val="Normal"/>
        <w:ind w:firstLine="708"/>
        <w:jc w:val="both"/>
        <w:rPr>
          <w:bCs/>
        </w:rPr>
      </w:pPr>
      <w:r>
        <w:rPr>
          <w:bCs/>
        </w:rPr>
        <w:t>- Постановления №170 при классификации работ по ремонту жилищного фонда;</w:t>
      </w:r>
    </w:p>
    <w:p>
      <w:pPr>
        <w:pStyle w:val="Normal"/>
        <w:ind w:firstLine="708"/>
        <w:jc w:val="both"/>
        <w:rPr>
          <w:bCs/>
        </w:rPr>
      </w:pPr>
      <w:r>
        <w:rPr>
          <w:bCs/>
        </w:rPr>
        <w:t>- ст. 179 БК РФ, Порядка разработки программ, Распоряжения №244 при формировании объемов финансирования муниципальных программ и классификации расходов бюджета на реализацию программных мероприятий;</w:t>
      </w:r>
    </w:p>
    <w:p>
      <w:pPr>
        <w:pStyle w:val="Normal"/>
        <w:ind w:firstLine="709"/>
        <w:jc w:val="both"/>
        <w:rPr/>
      </w:pPr>
      <w:r>
        <w:rPr>
          <w:bCs/>
        </w:rPr>
        <w:t xml:space="preserve">- ст. 28, ст. 38 БК РФ при </w:t>
      </w:r>
      <w:r>
        <w:rPr/>
        <w:t>предоставлении субсидии на иные цели подведомственному учреждению;</w:t>
      </w:r>
    </w:p>
    <w:p>
      <w:pPr>
        <w:pStyle w:val="Normal"/>
        <w:ind w:firstLine="709"/>
        <w:jc w:val="both"/>
        <w:rPr/>
      </w:pPr>
      <w:r>
        <w:rPr/>
        <w:t>- порядка распоряжения и управления муниципальным имуществом в части учета объектов имущества;</w:t>
      </w:r>
    </w:p>
    <w:p>
      <w:pPr>
        <w:pStyle w:val="Normal"/>
        <w:ind w:firstLine="709"/>
        <w:jc w:val="both"/>
        <w:rPr/>
      </w:pPr>
      <w:r>
        <w:rPr/>
        <w:t>- условий соглашений о предоставлении межбюджетных трансфертов в части отчетности о результатах расходования средств (достижения показателей).</w:t>
      </w:r>
    </w:p>
    <w:p>
      <w:pPr>
        <w:pStyle w:val="Normal"/>
        <w:ind w:firstLine="709"/>
        <w:jc w:val="both"/>
        <w:rPr/>
      </w:pPr>
      <w:r>
        <w:rPr/>
        <w:t>5. Администрацией поселения допущено неправомерное, необоснованное расходование бюджетных средств на предоставление субсидии МУП «ЖКУ» на увеличение уставного фонда в сумме 1 186,0 тыс. руб., которые подлежат возврату в бюджет поселения. Должностными лицами органов местного самоуправления городского поселения Талинка допущено административное правонарушение по ч. 1 ст. 15.15.5 КоАП, выразившееся в нарушении условий предоставления субсидии из местного бюджета.</w:t>
      </w:r>
    </w:p>
    <w:p>
      <w:pPr>
        <w:pStyle w:val="Normal"/>
        <w:ind w:firstLine="709"/>
        <w:jc w:val="both"/>
        <w:rPr/>
      </w:pPr>
      <w:r>
        <w:rPr/>
        <w:t>6. Установлены признаки нецелевого расходования средств бюджета Октябрьского района, предоставленных в рамках муниципальной программы «Экологическая безопасность в муниципальном образовании Октябрьский район».</w:t>
      </w:r>
    </w:p>
    <w:p>
      <w:pPr>
        <w:pStyle w:val="Normal"/>
        <w:ind w:firstLine="708"/>
        <w:jc w:val="both"/>
        <w:rPr>
          <w:bCs/>
          <w:highlight w:val="yellow"/>
        </w:rPr>
      </w:pPr>
      <w:r>
        <w:rPr>
          <w:bCs/>
          <w:highlight w:val="yellow"/>
        </w:rPr>
      </w:r>
    </w:p>
    <w:p>
      <w:pPr>
        <w:pStyle w:val="Normal"/>
        <w:ind w:firstLine="708"/>
        <w:jc w:val="center"/>
        <w:rPr>
          <w:b/>
          <w:bCs/>
        </w:rPr>
      </w:pPr>
      <w:r>
        <w:rPr>
          <w:b/>
          <w:bCs/>
        </w:rPr>
        <w:t>Рекомендации:</w:t>
      </w:r>
    </w:p>
    <w:p>
      <w:pPr>
        <w:pStyle w:val="Normal"/>
        <w:ind w:firstLine="708"/>
        <w:jc w:val="both"/>
        <w:rPr>
          <w:bCs/>
        </w:rPr>
      </w:pPr>
      <w:r>
        <w:rPr>
          <w:bCs/>
        </w:rPr>
        <w:t>1. Администрации городского поселения Талинка:</w:t>
      </w:r>
    </w:p>
    <w:p>
      <w:pPr>
        <w:pStyle w:val="Normal"/>
        <w:ind w:firstLine="708"/>
        <w:jc w:val="both"/>
        <w:rPr>
          <w:bCs/>
        </w:rPr>
      </w:pPr>
      <w:r>
        <w:rPr>
          <w:bCs/>
        </w:rPr>
        <w:t>1.1. Состав приложений и материалов к годовому отчету об исполнении бюджета формировать в соответствии с Положением о бюджетном процессе.</w:t>
      </w:r>
    </w:p>
    <w:p>
      <w:pPr>
        <w:pStyle w:val="Normal"/>
        <w:ind w:firstLine="708"/>
        <w:jc w:val="both"/>
        <w:rPr>
          <w:bCs/>
        </w:rPr>
      </w:pPr>
      <w:r>
        <w:rPr>
          <w:bCs/>
        </w:rPr>
        <w:t>1.2. Соблюдать требования действующего законодательства при отражении операций на счетах бухгалтерского учета. Учет доходов, расходов осуществлять по соответствующим кодам бюджетной классификации и статьям (подстатьям) классификации операций сектора государственного управления.</w:t>
      </w:r>
    </w:p>
    <w:p>
      <w:pPr>
        <w:pStyle w:val="Normal"/>
        <w:ind w:firstLine="708"/>
        <w:jc w:val="both"/>
        <w:rPr>
          <w:bCs/>
        </w:rPr>
      </w:pPr>
      <w:r>
        <w:rPr>
          <w:bCs/>
        </w:rPr>
        <w:t>1.3. Не допускать неэффективного использования бюджетных средств.</w:t>
      </w:r>
    </w:p>
    <w:p>
      <w:pPr>
        <w:pStyle w:val="Normal"/>
        <w:ind w:firstLine="708"/>
        <w:jc w:val="both"/>
        <w:rPr>
          <w:bCs/>
        </w:rPr>
      </w:pPr>
      <w:r>
        <w:rPr>
          <w:bCs/>
        </w:rPr>
        <w:t>1.4. Повысить качество разработки распоряжений об утверждении перечня и кодов целевых статей расходов бюджета поселения.</w:t>
      </w:r>
    </w:p>
    <w:p>
      <w:pPr>
        <w:pStyle w:val="Normal"/>
        <w:ind w:firstLine="708"/>
        <w:jc w:val="both"/>
        <w:rPr>
          <w:bCs/>
        </w:rPr>
      </w:pPr>
      <w:r>
        <w:rPr>
          <w:bCs/>
        </w:rPr>
        <w:t xml:space="preserve">1.5. Провести инвентаризацию нефинансовых активов, отраженных на </w:t>
      </w:r>
      <w:r>
        <w:rPr/>
        <w:t xml:space="preserve">забалансовом </w:t>
      </w:r>
      <w:r>
        <w:rPr>
          <w:bCs/>
        </w:rPr>
        <w:t>счете 26 «Имущество, переданное в безвозмездное пользование».</w:t>
      </w:r>
    </w:p>
    <w:p>
      <w:pPr>
        <w:pStyle w:val="Normal"/>
        <w:ind w:firstLine="709"/>
        <w:jc w:val="both"/>
        <w:rPr>
          <w:bCs/>
        </w:rPr>
      </w:pPr>
      <w:r>
        <w:rPr>
          <w:bCs/>
        </w:rPr>
        <w:t>1.6. Принять меры по отражению в годовой бюджетной отчетности долгосрочной, просроченной дебиторской задолженность по доходам от использования и продажи муниципального имущества.</w:t>
      </w:r>
    </w:p>
    <w:p>
      <w:pPr>
        <w:pStyle w:val="Normal"/>
        <w:ind w:firstLine="708"/>
        <w:jc w:val="both"/>
        <w:rPr>
          <w:bCs/>
        </w:rPr>
      </w:pPr>
      <w:r>
        <w:rPr>
          <w:bCs/>
        </w:rPr>
        <w:t>1.7. Принять меры по внесению изменений в решение СД №44.</w:t>
      </w:r>
    </w:p>
    <w:p>
      <w:pPr>
        <w:pStyle w:val="Normal"/>
        <w:ind w:firstLine="708"/>
        <w:jc w:val="both"/>
        <w:rPr>
          <w:bCs/>
        </w:rPr>
      </w:pPr>
      <w:r>
        <w:rPr>
          <w:bCs/>
        </w:rPr>
        <w:t>1.8. Провести инвентаризацию объектов незавершенного строительства на счете 010600000, нефинансовых активов на счете 010100000, объекты, подлежащие учету в составе имущества казны, отразить по соответствующим счетам бухгалтерского учета.</w:t>
      </w:r>
    </w:p>
    <w:p>
      <w:pPr>
        <w:pStyle w:val="Normal"/>
        <w:ind w:firstLine="708"/>
        <w:jc w:val="both"/>
        <w:rPr>
          <w:bCs/>
        </w:rPr>
      </w:pPr>
      <w:r>
        <w:rPr>
          <w:bCs/>
        </w:rPr>
        <w:t>1.9. Повысить качество разработки соглашений о предоставлении субсидии на иные цели, с соблюдением принципа адресности и целевого характера предоставления бюджетных средств.</w:t>
      </w:r>
    </w:p>
    <w:p>
      <w:pPr>
        <w:pStyle w:val="Normal"/>
        <w:ind w:firstLine="708"/>
        <w:jc w:val="both"/>
        <w:rPr>
          <w:bCs/>
        </w:rPr>
      </w:pPr>
      <w:r>
        <w:rPr>
          <w:bCs/>
        </w:rPr>
        <w:t>1.10. Принять меры по исключению из состава имущества казны снесенного жилого дома по адресу 1 мкр, д. 4.</w:t>
      </w:r>
    </w:p>
    <w:p>
      <w:pPr>
        <w:pStyle w:val="Normal"/>
        <w:ind w:firstLine="708"/>
        <w:jc w:val="both"/>
        <w:rPr>
          <w:bCs/>
        </w:rPr>
      </w:pPr>
      <w:r>
        <w:rPr>
          <w:bCs/>
        </w:rPr>
        <w:t>1.11. Принять меры по инвентаризации площадок временного накопления ТКО, по постановке на учет в состав имущества казны неучтенных объектов. Расходы на обработку контейнеров и контейнерных площадок отражать по подразделу 0907 «Санитарно-эпидемиологическое благополучие» классификации расходов бюджетов.</w:t>
      </w:r>
    </w:p>
    <w:p>
      <w:pPr>
        <w:pStyle w:val="Normal"/>
        <w:ind w:firstLine="708"/>
        <w:jc w:val="both"/>
        <w:rPr>
          <w:bCs/>
        </w:rPr>
      </w:pPr>
      <w:r>
        <w:rPr>
          <w:bCs/>
        </w:rPr>
        <w:t>1.12. Продолжить мероприятия по повышению эффективности администрирования доходов в бюджет поселения, по проведению инвентаризации дебиторской, кредиторской задолженности по доходам, по снижению задолженности.</w:t>
      </w:r>
    </w:p>
    <w:p>
      <w:pPr>
        <w:pStyle w:val="Normal"/>
        <w:ind w:firstLine="708"/>
        <w:jc w:val="both"/>
        <w:rPr>
          <w:bCs/>
        </w:rPr>
      </w:pPr>
      <w:r>
        <w:rPr>
          <w:bCs/>
        </w:rPr>
        <w:t>1.13. Принять меры по соблюдению условий предоставления межбюджетных трансфертов, в том числе в части неденежного участия заинтересованных лиц в реализации инициативных проектов, а также в части достижения показателей результативности предоставления средств.</w:t>
      </w:r>
    </w:p>
    <w:p>
      <w:pPr>
        <w:pStyle w:val="Normal"/>
        <w:ind w:firstLine="708"/>
        <w:jc w:val="both"/>
        <w:rPr>
          <w:bCs/>
        </w:rPr>
      </w:pPr>
      <w:r>
        <w:rPr>
          <w:bCs/>
        </w:rPr>
        <w:t>1.14. Принять меры по возврату в бюджет поселения неправомерно и необоснованно выданной субсидии МУП «ЖКУ» в сумме 1 186,5 тыс. руб.</w:t>
      </w:r>
    </w:p>
    <w:p>
      <w:pPr>
        <w:pStyle w:val="Normal"/>
        <w:ind w:firstLine="708"/>
        <w:jc w:val="both"/>
        <w:rPr>
          <w:bCs/>
        </w:rPr>
      </w:pPr>
      <w:r>
        <w:rPr>
          <w:bCs/>
        </w:rPr>
        <w:t>1.15. Администрации городского поселения Талинка как главному распорядителю бюджетных средств совместно с отделом культуры и туризма администрации Октябрьского района как главным распорядителем бюджетных средств, предоставившим ИМБТ рамках муниципальной программы «Экологическая безопасность в муниципальном образовании Октябрьский район», в порядке ведомственного контроля провести проверку расходования средств ИМБТ, переданных в виде субсидии на иные цели МБУ «ЦКС» на предмет соответствия расходов МБУ «ЦКС» целям, установленным постановлением администрации Октябрьского района от 22.04.2025 №592. Результаты проверки предоставить в Контрольно-счетную палату в срок до 01.06.2025.</w:t>
      </w:r>
    </w:p>
    <w:p>
      <w:pPr>
        <w:pStyle w:val="Normal"/>
        <w:numPr>
          <w:ilvl w:val="0"/>
          <w:numId w:val="0"/>
        </w:numPr>
        <w:tabs>
          <w:tab w:val="clear" w:pos="708"/>
          <w:tab w:val="left" w:pos="993" w:leader="none"/>
        </w:tabs>
        <w:ind w:left="708"/>
        <w:jc w:val="both"/>
        <w:outlineLvl w:val="0"/>
        <w:rPr>
          <w:bCs/>
        </w:rPr>
      </w:pPr>
      <w:r>
        <w:rPr>
          <w:bCs/>
        </w:rPr>
      </w:r>
    </w:p>
    <w:p>
      <w:pPr>
        <w:pStyle w:val="Normal"/>
        <w:numPr>
          <w:ilvl w:val="0"/>
          <w:numId w:val="1"/>
        </w:numPr>
        <w:tabs>
          <w:tab w:val="clear" w:pos="708"/>
          <w:tab w:val="left" w:pos="993" w:leader="none"/>
        </w:tabs>
        <w:ind w:firstLine="708" w:left="0"/>
        <w:jc w:val="both"/>
        <w:outlineLvl w:val="0"/>
        <w:rPr>
          <w:bCs/>
        </w:rPr>
      </w:pPr>
      <w:r>
        <w:rPr>
          <w:bCs/>
        </w:rPr>
        <w:t>Совету депутатов городского поселения Талинка рассмотреть отчет об исполнении бюджета муниципального образования городское поселение Талинка за 2025 год с учетом вышеизложенных замечаний.</w:t>
      </w:r>
    </w:p>
    <w:p>
      <w:pPr>
        <w:pStyle w:val="Normal"/>
        <w:jc w:val="both"/>
        <w:rPr/>
      </w:pPr>
      <w:r>
        <w:rPr/>
      </w:r>
    </w:p>
    <w:p>
      <w:pPr>
        <w:pStyle w:val="Normal"/>
        <w:jc w:val="both"/>
        <w:rPr/>
      </w:pPr>
      <w:r>
        <w:rPr/>
      </w:r>
    </w:p>
    <w:p>
      <w:pPr>
        <w:pStyle w:val="Normal"/>
        <w:jc w:val="both"/>
        <w:rPr/>
      </w:pPr>
      <w:r>
        <w:rPr/>
        <w:t xml:space="preserve">Председатель </w:t>
      </w:r>
    </w:p>
    <w:p>
      <w:pPr>
        <w:pStyle w:val="Normal"/>
        <w:jc w:val="both"/>
        <w:rPr/>
      </w:pPr>
      <w:r>
        <w:rPr/>
        <w:t xml:space="preserve">Контрольно - счетной палаты Октябрьского района </w:t>
        <w:tab/>
        <w:t xml:space="preserve">                       </w:t>
        <w:tab/>
        <w:t xml:space="preserve">            О.М. Бачурина</w:t>
      </w:r>
    </w:p>
    <w:p>
      <w:pPr>
        <w:pStyle w:val="Normal"/>
        <w:jc w:val="both"/>
        <w:rPr>
          <w:sz w:val="20"/>
          <w:szCs w:val="20"/>
        </w:rPr>
      </w:pPr>
      <w:r>
        <w:rPr>
          <w:sz w:val="20"/>
          <w:szCs w:val="20"/>
        </w:rPr>
      </w:r>
    </w:p>
    <w:p>
      <w:pPr>
        <w:pStyle w:val="Normal"/>
        <w:jc w:val="both"/>
        <w:rPr>
          <w:sz w:val="20"/>
          <w:szCs w:val="20"/>
        </w:rPr>
      </w:pPr>
      <w:r>
        <w:rPr>
          <w:sz w:val="20"/>
          <w:szCs w:val="20"/>
        </w:rPr>
      </w:r>
    </w:p>
    <w:p>
      <w:pPr>
        <w:pStyle w:val="Normal"/>
        <w:jc w:val="both"/>
        <w:rPr>
          <w:sz w:val="20"/>
          <w:szCs w:val="20"/>
        </w:rPr>
      </w:pPr>
      <w:r>
        <w:rPr>
          <w:sz w:val="20"/>
          <w:szCs w:val="20"/>
        </w:rPr>
      </w:r>
    </w:p>
    <w:p>
      <w:pPr>
        <w:pStyle w:val="Normal"/>
        <w:jc w:val="both"/>
        <w:rPr>
          <w:sz w:val="20"/>
          <w:szCs w:val="20"/>
        </w:rPr>
      </w:pPr>
      <w:r>
        <w:rPr>
          <w:sz w:val="20"/>
          <w:szCs w:val="20"/>
        </w:rPr>
      </w:r>
    </w:p>
    <w:p>
      <w:pPr>
        <w:pStyle w:val="Normal"/>
        <w:jc w:val="both"/>
        <w:rPr>
          <w:sz w:val="20"/>
          <w:szCs w:val="20"/>
        </w:rPr>
      </w:pPr>
      <w:r>
        <w:rPr>
          <w:sz w:val="20"/>
          <w:szCs w:val="20"/>
        </w:rPr>
        <w:t>Исполнитель</w:t>
      </w:r>
      <w:bookmarkStart w:id="1" w:name="_GoBack"/>
      <w:bookmarkEnd w:id="1"/>
      <w:r>
        <w:rPr>
          <w:sz w:val="20"/>
          <w:szCs w:val="20"/>
        </w:rPr>
        <w:t xml:space="preserve">: </w:t>
      </w:r>
    </w:p>
    <w:p>
      <w:pPr>
        <w:pStyle w:val="Normal"/>
        <w:jc w:val="both"/>
        <w:rPr>
          <w:sz w:val="20"/>
          <w:szCs w:val="20"/>
        </w:rPr>
      </w:pPr>
      <w:r>
        <w:rPr>
          <w:sz w:val="20"/>
          <w:szCs w:val="20"/>
        </w:rPr>
        <w:t>Кашкарова Ольга Николаевна</w:t>
      </w:r>
    </w:p>
    <w:p>
      <w:pPr>
        <w:pStyle w:val="Normal"/>
        <w:jc w:val="both"/>
        <w:rPr>
          <w:sz w:val="20"/>
          <w:szCs w:val="20"/>
        </w:rPr>
      </w:pPr>
      <w:r>
        <w:rPr>
          <w:sz w:val="20"/>
          <w:szCs w:val="20"/>
        </w:rPr>
        <w:t>8-34678-20868</w:t>
      </w:r>
    </w:p>
    <w:p>
      <w:pPr>
        <w:pStyle w:val="Normal"/>
        <w:widowControl w:val="false"/>
        <w:ind w:firstLine="720"/>
        <w:jc w:val="both"/>
        <w:rPr>
          <w:bCs/>
        </w:rPr>
      </w:pPr>
      <w:r>
        <w:rPr>
          <w:bCs/>
        </w:rPr>
      </w:r>
    </w:p>
    <w:p>
      <w:pPr>
        <w:pStyle w:val="Normal"/>
        <w:widowControl w:val="false"/>
        <w:ind w:firstLine="720"/>
        <w:jc w:val="both"/>
        <w:rPr>
          <w:bCs/>
        </w:rPr>
      </w:pPr>
      <w:r>
        <w:rPr>
          <w:bCs/>
        </w:rPr>
      </w:r>
    </w:p>
    <w:sectPr>
      <w:footerReference w:type="even" r:id="rId3"/>
      <w:footerReference w:type="default" r:id="rId4"/>
      <w:footerReference w:type="first" r:id="rId5"/>
      <w:type w:val="nextPage"/>
      <w:pgSz w:w="11906" w:h="16838"/>
      <w:pgMar w:left="1701" w:right="567" w:gutter="0" w:header="0" w:top="1134" w:footer="709"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swiss"/>
    <w:pitch w:val="variable"/>
  </w:font>
  <w:font w:name="Liberation Sans">
    <w:altName w:val="Arial"/>
    <w:charset w:val="01"/>
    <w:family w:val="swiss"/>
    <w:pitch w:val="variable"/>
  </w:font>
  <w:font w:name="Arial">
    <w:charset w:val="01"/>
    <w:family w:val="swiss"/>
    <w:pitch w:val="variable"/>
  </w:font>
  <w:font w:name="Georgi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r>
      <mc:AlternateContent>
        <mc:Choice Requires="wps">
          <w:drawing>
            <wp:anchor behindDoc="0" distT="0" distB="0" distL="0" distR="0" simplePos="0" locked="0" layoutInCell="1" allowOverlap="1" relativeHeight="0">
              <wp:simplePos x="0" y="0"/>
              <wp:positionH relativeFrom="margin">
                <wp:align>center</wp:align>
              </wp:positionH>
              <wp:positionV relativeFrom="paragraph">
                <wp:posOffset>635</wp:posOffset>
              </wp:positionV>
              <wp:extent cx="14605" cy="14605"/>
              <wp:effectExtent l="0" t="0" r="0" b="0"/>
              <wp:wrapSquare wrapText="bothSides"/>
              <wp:docPr id="2" name="Врезка1"/>
              <a:graphic xmlns:a="http://schemas.openxmlformats.org/drawingml/2006/main">
                <a:graphicData uri="http://schemas.microsoft.com/office/word/2010/wordprocessingShape">
                  <wps:wsp>
                    <wps:cNvSpPr txBox="1"/>
                    <wps:spPr>
                      <a:xfrm>
                        <a:off x="0" y="0"/>
                        <a:ext cx="14605" cy="14605"/>
                      </a:xfrm>
                      <a:prstGeom prst="rect"/>
                      <a:solidFill>
                        <a:srgbClr val="FFFFFF">
                          <a:alpha val="0"/>
                        </a:srgbClr>
                      </a:solidFill>
                    </wps:spPr>
                    <wps:txbx>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1.15pt;height:1.15pt;mso-wrap-distance-left:0pt;mso-wrap-distance-right:0pt;mso-wrap-distance-top:0pt;mso-wrap-distance-bottom:0pt;margin-top:0.05pt;mso-position-vertical-relative:text;margin-left:0pt;mso-position-horizontal:center;mso-position-horizontal-relative:margin">
              <v:fill opacity="0f"/>
              <v:textbox inset="0in,0in,0in,0in">
                <w:txbxContent>
                  <w:p>
                    <w:pPr>
                      <w:pStyle w:val="Footer"/>
                      <w:pBd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34</w:t>
    </w:r>
    <w:r>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211" w:hanging="360"/>
      </w:pPr>
      <w:rPr>
        <w:rFonts w:cs="Times New Roman"/>
      </w:rPr>
    </w:lvl>
    <w:lvl w:ilvl="1">
      <w:start w:val="1"/>
      <w:isLgl/>
      <w:numFmt w:val="decimal"/>
      <w:lvlText w:val="%1.%2."/>
      <w:lvlJc w:val="left"/>
      <w:pPr>
        <w:tabs>
          <w:tab w:val="num" w:pos="0"/>
        </w:tabs>
        <w:ind w:left="1068" w:hanging="360"/>
      </w:pPr>
      <w:rPr>
        <w:rFonts w:cs="Times New Roman"/>
      </w:rPr>
    </w:lvl>
    <w:lvl w:ilvl="2">
      <w:start w:val="1"/>
      <w:isLgl/>
      <w:numFmt w:val="decimal"/>
      <w:lvlText w:val="%1.%2.%3."/>
      <w:lvlJc w:val="left"/>
      <w:pPr>
        <w:tabs>
          <w:tab w:val="num" w:pos="0"/>
        </w:tabs>
        <w:ind w:left="1428" w:hanging="720"/>
      </w:pPr>
      <w:rPr>
        <w:rFonts w:cs="Times New Roman"/>
      </w:rPr>
    </w:lvl>
    <w:lvl w:ilvl="3">
      <w:start w:val="1"/>
      <w:isLgl/>
      <w:numFmt w:val="decimal"/>
      <w:lvlText w:val="%1.%2.%3.%4."/>
      <w:lvlJc w:val="left"/>
      <w:pPr>
        <w:tabs>
          <w:tab w:val="num" w:pos="0"/>
        </w:tabs>
        <w:ind w:left="1428" w:hanging="720"/>
      </w:pPr>
      <w:rPr>
        <w:rFonts w:cs="Times New Roman"/>
      </w:rPr>
    </w:lvl>
    <w:lvl w:ilvl="4">
      <w:start w:val="1"/>
      <w:isLgl/>
      <w:numFmt w:val="decimal"/>
      <w:lvlText w:val="%1.%2.%3.%4.%5."/>
      <w:lvlJc w:val="left"/>
      <w:pPr>
        <w:tabs>
          <w:tab w:val="num" w:pos="0"/>
        </w:tabs>
        <w:ind w:left="1788" w:hanging="1080"/>
      </w:pPr>
      <w:rPr>
        <w:rFonts w:cs="Times New Roman"/>
      </w:rPr>
    </w:lvl>
    <w:lvl w:ilvl="5">
      <w:start w:val="1"/>
      <w:isLgl/>
      <w:numFmt w:val="decimal"/>
      <w:lvlText w:val="%1.%2.%3.%4.%5.%6."/>
      <w:lvlJc w:val="left"/>
      <w:pPr>
        <w:tabs>
          <w:tab w:val="num" w:pos="0"/>
        </w:tabs>
        <w:ind w:left="1788" w:hanging="1080"/>
      </w:pPr>
      <w:rPr>
        <w:rFonts w:cs="Times New Roman"/>
      </w:rPr>
    </w:lvl>
    <w:lvl w:ilvl="6">
      <w:start w:val="1"/>
      <w:isLgl/>
      <w:numFmt w:val="decimal"/>
      <w:lvlText w:val="%1.%2.%3.%4.%5.%6.%7."/>
      <w:lvlJc w:val="left"/>
      <w:pPr>
        <w:tabs>
          <w:tab w:val="num" w:pos="0"/>
        </w:tabs>
        <w:ind w:left="2148" w:hanging="1440"/>
      </w:pPr>
      <w:rPr>
        <w:rFonts w:cs="Times New Roman"/>
      </w:rPr>
    </w:lvl>
    <w:lvl w:ilvl="7">
      <w:start w:val="1"/>
      <w:isLgl/>
      <w:numFmt w:val="decimal"/>
      <w:lvlText w:val="%1.%2.%3.%4.%5.%6.%7.%8."/>
      <w:lvlJc w:val="left"/>
      <w:pPr>
        <w:tabs>
          <w:tab w:val="num" w:pos="0"/>
        </w:tabs>
        <w:ind w:left="2148" w:hanging="1440"/>
      </w:pPr>
      <w:rPr>
        <w:rFonts w:cs="Times New Roman"/>
      </w:rPr>
    </w:lvl>
    <w:lvl w:ilvl="8">
      <w:start w:val="1"/>
      <w:isLgl/>
      <w:numFmt w:val="decimal"/>
      <w:lvlText w:val="%1.%2.%3.%4.%5.%6.%7.%8.%9."/>
      <w:lvlJc w:val="left"/>
      <w:pPr>
        <w:tabs>
          <w:tab w:val="num" w:pos="0"/>
        </w:tabs>
        <w:ind w:left="2508" w:hanging="1800"/>
      </w:pPr>
      <w:rPr>
        <w:rFonts w:cs="Times New Roman"/>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37371"/>
    <w:pPr>
      <w:widowControl/>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Heading1">
    <w:name w:val="heading 1"/>
    <w:basedOn w:val="Normal"/>
    <w:next w:val="Normal"/>
    <w:link w:val="1"/>
    <w:uiPriority w:val="99"/>
    <w:qFormat/>
    <w:rsid w:val="00a14673"/>
    <w:pPr>
      <w:keepNext w:val="true"/>
      <w:jc w:val="center"/>
      <w:outlineLvl w:val="0"/>
    </w:pPr>
    <w:rPr>
      <w:b/>
      <w:spacing w:val="40"/>
      <w:sz w:val="26"/>
      <w:szCs w:val="26"/>
    </w:rPr>
  </w:style>
  <w:style w:type="character" w:styleId="DefaultParagraphFont" w:default="1">
    <w:name w:val="Default Paragraph Font"/>
    <w:uiPriority w:val="1"/>
    <w:semiHidden/>
    <w:unhideWhenUsed/>
    <w:qFormat/>
    <w:rPr/>
  </w:style>
  <w:style w:type="character" w:styleId="1" w:customStyle="1">
    <w:name w:val="Заголовок 1 Знак"/>
    <w:uiPriority w:val="9"/>
    <w:qFormat/>
    <w:rsid w:val="00ff4398"/>
    <w:rPr>
      <w:rFonts w:ascii="Cambria" w:hAnsi="Cambria" w:eastAsia="Times New Roman" w:cs="Times New Roman"/>
      <w:b/>
      <w:bCs/>
      <w:kern w:val="2"/>
      <w:sz w:val="32"/>
      <w:szCs w:val="32"/>
    </w:rPr>
  </w:style>
  <w:style w:type="character" w:styleId="Hyperlink">
    <w:name w:val="Hyperlink"/>
    <w:uiPriority w:val="99"/>
    <w:rsid w:val="00a14673"/>
    <w:rPr>
      <w:rFonts w:cs="Times New Roman"/>
      <w:color w:val="0000FF"/>
      <w:u w:val="single"/>
    </w:rPr>
  </w:style>
  <w:style w:type="character" w:styleId="Style13" w:customStyle="1">
    <w:name w:val="Нижний колонтитул Знак"/>
    <w:uiPriority w:val="99"/>
    <w:qFormat/>
    <w:locked/>
    <w:rsid w:val="007936a9"/>
    <w:rPr>
      <w:rFonts w:cs="Times New Roman"/>
      <w:sz w:val="24"/>
      <w:szCs w:val="24"/>
    </w:rPr>
  </w:style>
  <w:style w:type="character" w:styleId="PageNumber">
    <w:name w:val="page number"/>
    <w:uiPriority w:val="99"/>
    <w:rsid w:val="00a14673"/>
    <w:rPr>
      <w:rFonts w:cs="Times New Roman"/>
    </w:rPr>
  </w:style>
  <w:style w:type="character" w:styleId="Style14" w:customStyle="1">
    <w:name w:val="Верхний колонтитул Знак"/>
    <w:uiPriority w:val="99"/>
    <w:semiHidden/>
    <w:qFormat/>
    <w:rsid w:val="00ff4398"/>
    <w:rPr>
      <w:sz w:val="24"/>
      <w:szCs w:val="24"/>
    </w:rPr>
  </w:style>
  <w:style w:type="character" w:styleId="Style15" w:customStyle="1">
    <w:name w:val="Основной текст Знак"/>
    <w:uiPriority w:val="99"/>
    <w:semiHidden/>
    <w:qFormat/>
    <w:rsid w:val="00ff4398"/>
    <w:rPr>
      <w:sz w:val="24"/>
      <w:szCs w:val="24"/>
    </w:rPr>
  </w:style>
  <w:style w:type="character" w:styleId="Style16" w:customStyle="1">
    <w:name w:val="Текст выноски Знак"/>
    <w:link w:val="BalloonText"/>
    <w:uiPriority w:val="99"/>
    <w:qFormat/>
    <w:locked/>
    <w:rsid w:val="004e6c10"/>
    <w:rPr>
      <w:rFonts w:ascii="Tahoma" w:hAnsi="Tahoma" w:cs="Tahoma"/>
      <w:sz w:val="16"/>
      <w:szCs w:val="16"/>
    </w:rPr>
  </w:style>
  <w:style w:type="character" w:styleId="r" w:customStyle="1">
    <w:name w:val="r"/>
    <w:uiPriority w:val="99"/>
    <w:qFormat/>
    <w:rsid w:val="008b4ad9"/>
    <w:rPr>
      <w:rFonts w:cs="Times New Roman"/>
    </w:rPr>
  </w:style>
  <w:style w:type="character" w:styleId="Style17" w:customStyle="1">
    <w:name w:val="Основной текст с отступом Знак"/>
    <w:uiPriority w:val="99"/>
    <w:qFormat/>
    <w:locked/>
    <w:rsid w:val="00830908"/>
    <w:rPr>
      <w:rFonts w:cs="Times New Roman"/>
      <w:sz w:val="24"/>
      <w:szCs w:val="24"/>
    </w:rPr>
  </w:style>
  <w:style w:type="paragraph" w:styleId="Style18">
    <w:name w:val="Заголовок"/>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Style15"/>
    <w:uiPriority w:val="99"/>
    <w:rsid w:val="00264709"/>
    <w:pPr>
      <w:jc w:val="both"/>
    </w:pPr>
    <w:rPr>
      <w:sz w:val="28"/>
      <w:szCs w:val="20"/>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Style19">
    <w:name w:val="Указатель"/>
    <w:basedOn w:val="Normal"/>
    <w:qFormat/>
    <w:pPr>
      <w:suppressLineNumbers/>
    </w:pPr>
    <w:rPr>
      <w:rFonts w:cs="Noto Sans Devanagari"/>
    </w:rPr>
  </w:style>
  <w:style w:type="paragraph" w:styleId="HeaderandFooter">
    <w:name w:val="Header and Footer"/>
    <w:basedOn w:val="Normal"/>
    <w:qFormat/>
    <w:pPr/>
    <w:rPr/>
  </w:style>
  <w:style w:type="paragraph" w:styleId="Footer">
    <w:name w:val="footer"/>
    <w:basedOn w:val="Normal"/>
    <w:link w:val="Style13"/>
    <w:uiPriority w:val="99"/>
    <w:rsid w:val="00a14673"/>
    <w:pPr>
      <w:tabs>
        <w:tab w:val="clear" w:pos="708"/>
        <w:tab w:val="center" w:pos="4677" w:leader="none"/>
        <w:tab w:val="right" w:pos="9355" w:leader="none"/>
      </w:tabs>
    </w:pPr>
    <w:rPr/>
  </w:style>
  <w:style w:type="paragraph" w:styleId="Header">
    <w:name w:val="header"/>
    <w:basedOn w:val="Normal"/>
    <w:link w:val="Style14"/>
    <w:uiPriority w:val="99"/>
    <w:rsid w:val="00a14673"/>
    <w:pPr>
      <w:tabs>
        <w:tab w:val="clear" w:pos="708"/>
        <w:tab w:val="center" w:pos="4677" w:leader="none"/>
        <w:tab w:val="right" w:pos="9355" w:leader="none"/>
      </w:tabs>
    </w:pPr>
    <w:rPr/>
  </w:style>
  <w:style w:type="paragraph" w:styleId="Style20" w:customStyle="1">
    <w:name w:val="Документ"/>
    <w:basedOn w:val="Normal"/>
    <w:uiPriority w:val="99"/>
    <w:qFormat/>
    <w:rsid w:val="00264709"/>
    <w:pPr>
      <w:spacing w:lineRule="auto" w:line="360"/>
      <w:ind w:firstLine="709"/>
      <w:jc w:val="both"/>
    </w:pPr>
    <w:rPr>
      <w:sz w:val="28"/>
      <w:szCs w:val="20"/>
    </w:rPr>
  </w:style>
  <w:style w:type="paragraph" w:styleId="Default" w:customStyle="1">
    <w:name w:val="Default"/>
    <w:qFormat/>
    <w:rsid w:val="00d5428c"/>
    <w:pPr>
      <w:widowControl/>
      <w:bidi w:val="0"/>
      <w:spacing w:before="0" w:after="0"/>
      <w:jc w:val="left"/>
    </w:pPr>
    <w:rPr>
      <w:rFonts w:ascii="Times New Roman" w:hAnsi="Times New Roman" w:eastAsia="Times New Roman" w:cs="Times New Roman"/>
      <w:color w:val="000000"/>
      <w:kern w:val="0"/>
      <w:sz w:val="24"/>
      <w:szCs w:val="24"/>
      <w:lang w:val="ru-RU" w:eastAsia="ru-RU" w:bidi="ar-SA"/>
    </w:rPr>
  </w:style>
  <w:style w:type="paragraph" w:styleId="BalloonText">
    <w:name w:val="Balloon Text"/>
    <w:basedOn w:val="Normal"/>
    <w:link w:val="Style16"/>
    <w:uiPriority w:val="99"/>
    <w:qFormat/>
    <w:rsid w:val="004e6c10"/>
    <w:pPr/>
    <w:rPr>
      <w:rFonts w:ascii="Tahoma" w:hAnsi="Tahoma" w:cs="Tahoma"/>
      <w:sz w:val="16"/>
      <w:szCs w:val="16"/>
    </w:rPr>
  </w:style>
  <w:style w:type="paragraph" w:styleId="ConsPlusNormal" w:customStyle="1">
    <w:name w:val="ConsPlusNormal"/>
    <w:uiPriority w:val="99"/>
    <w:qFormat/>
    <w:rsid w:val="00a66d13"/>
    <w:pPr>
      <w:widowControl/>
      <w:bidi w:val="0"/>
      <w:spacing w:before="0" w:after="0"/>
      <w:jc w:val="left"/>
    </w:pPr>
    <w:rPr>
      <w:rFonts w:ascii="Times New Roman" w:hAnsi="Times New Roman" w:eastAsia="Times New Roman" w:cs="Times New Roman"/>
      <w:color w:val="auto"/>
      <w:kern w:val="0"/>
      <w:sz w:val="24"/>
      <w:szCs w:val="24"/>
      <w:lang w:val="ru-RU" w:eastAsia="ru-RU" w:bidi="ar-SA"/>
    </w:rPr>
  </w:style>
  <w:style w:type="paragraph" w:styleId="BodyTextIndent">
    <w:name w:val="Body Text Indent"/>
    <w:basedOn w:val="Normal"/>
    <w:link w:val="Style17"/>
    <w:uiPriority w:val="99"/>
    <w:rsid w:val="00830908"/>
    <w:pPr>
      <w:spacing w:before="0" w:after="120"/>
      <w:ind w:left="283"/>
    </w:pPr>
    <w:rPr/>
  </w:style>
  <w:style w:type="paragraph" w:styleId="ListParagraph">
    <w:name w:val="List Paragraph"/>
    <w:basedOn w:val="Normal"/>
    <w:uiPriority w:val="99"/>
    <w:qFormat/>
    <w:rsid w:val="003e0eb1"/>
    <w:pPr>
      <w:spacing w:before="0" w:after="0"/>
      <w:ind w:left="720"/>
      <w:contextualSpacing/>
    </w:pPr>
    <w:rPr/>
  </w:style>
  <w:style w:type="paragraph" w:styleId="21" w:customStyle="1">
    <w:name w:val="Основной текст 21"/>
    <w:basedOn w:val="Normal"/>
    <w:uiPriority w:val="99"/>
    <w:qFormat/>
    <w:rsid w:val="00a34a88"/>
    <w:pPr/>
    <w:rPr>
      <w:sz w:val="28"/>
      <w:szCs w:val="20"/>
    </w:rPr>
  </w:style>
  <w:style w:type="paragraph" w:styleId="headertext" w:customStyle="1">
    <w:name w:val="headertext"/>
    <w:basedOn w:val="Normal"/>
    <w:qFormat/>
    <w:rsid w:val="00d339b5"/>
    <w:pPr>
      <w:spacing w:beforeAutospacing="1" w:afterAutospacing="1"/>
    </w:pPr>
    <w:rPr/>
  </w:style>
  <w:style w:type="paragraph" w:styleId="NormalWeb">
    <w:name w:val="Normal (Web)"/>
    <w:basedOn w:val="Normal"/>
    <w:uiPriority w:val="99"/>
    <w:unhideWhenUsed/>
    <w:qFormat/>
    <w:rsid w:val="0021298f"/>
    <w:pPr>
      <w:spacing w:beforeAutospacing="1" w:afterAutospacing="1"/>
    </w:pPr>
    <w:rPr/>
  </w:style>
  <w:style w:type="paragraph" w:styleId="formattext" w:customStyle="1">
    <w:name w:val="formattext"/>
    <w:basedOn w:val="Normal"/>
    <w:qFormat/>
    <w:rsid w:val="00296df8"/>
    <w:pPr>
      <w:spacing w:beforeAutospacing="1" w:afterAutospacing="1"/>
    </w:pPr>
    <w:rPr/>
  </w:style>
  <w:style w:type="paragraph" w:styleId="HEADERTEXT1" w:customStyle="1">
    <w:name w:val=".HEADERTEXT"/>
    <w:uiPriority w:val="99"/>
    <w:qFormat/>
    <w:rsid w:val="00296df8"/>
    <w:pPr>
      <w:widowControl w:val="false"/>
      <w:bidi w:val="0"/>
      <w:spacing w:before="0" w:after="0"/>
      <w:jc w:val="left"/>
    </w:pPr>
    <w:rPr>
      <w:rFonts w:ascii="Arial" w:hAnsi="Arial" w:eastAsia="" w:cs="Arial" w:eastAsiaTheme="minorEastAsia"/>
      <w:color w:val="2B4279"/>
      <w:kern w:val="0"/>
      <w:sz w:val="20"/>
      <w:szCs w:val="20"/>
      <w:lang w:val="ru-RU" w:eastAsia="ru-RU" w:bidi="ar-SA"/>
    </w:rPr>
  </w:style>
  <w:style w:type="paragraph" w:styleId="FORMATTEXT1" w:customStyle="1">
    <w:name w:val=".FORMATTEXT"/>
    <w:uiPriority w:val="99"/>
    <w:qFormat/>
    <w:rsid w:val="008d052e"/>
    <w:pPr>
      <w:widowControl w:val="false"/>
      <w:bidi w:val="0"/>
      <w:spacing w:before="0" w:after="0"/>
      <w:jc w:val="left"/>
    </w:pPr>
    <w:rPr>
      <w:rFonts w:ascii="Arial" w:hAnsi="Arial" w:eastAsia="" w:cs="Arial" w:eastAsiaTheme="minorEastAsia"/>
      <w:color w:val="auto"/>
      <w:kern w:val="0"/>
      <w:sz w:val="20"/>
      <w:szCs w:val="20"/>
      <w:lang w:val="ru-RU" w:eastAsia="ru-RU" w:bidi="ar-SA"/>
    </w:rPr>
  </w:style>
  <w:style w:type="paragraph" w:styleId="Style21">
    <w:name w:val="Содержимое врезки"/>
    <w:basedOn w:val="Normal"/>
    <w:qFormat/>
    <w:pPr/>
    <w:rPr/>
  </w:style>
  <w:style w:type="numbering" w:styleId="Style22"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c">
    <w:name w:val="Table Grid"/>
    <w:basedOn w:val="a1"/>
    <w:uiPriority w:val="99"/>
    <w:rsid w:val="00ad73c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62A6C-60A2-4EE9-A8B6-D8CDC5AA8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5577</TotalTime>
  <Application>LibreOffice/25.2.3.2$Linux_X86_64 LibreOffice_project/520$Build-2</Application>
  <AppVersion>15.0000</AppVersion>
  <Pages>34</Pages>
  <Words>14470</Words>
  <Characters>97598</Characters>
  <CharactersWithSpaces>111865</CharactersWithSpaces>
  <Paragraphs>614</Paragraphs>
  <Company>Home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2024-03-30T07:16:00Z</dcterms:created>
  <dc:creator>KirichenkoNV</dc:creator>
  <dc:description/>
  <dc:language>ru-RU</dc:language>
  <cp:lastModifiedBy>PalyLV</cp:lastModifiedBy>
  <cp:lastPrinted>2022-03-29T12:37:00Z</cp:lastPrinted>
  <dcterms:modified xsi:type="dcterms:W3CDTF">2026-03-27T07:22:00Z</dcterms:modified>
  <cp:revision>113</cp:revision>
  <dc:subject/>
  <dc:title>Администрация Октябрьского района</dc:title>
</cp:coreProperties>
</file>

<file path=docProps/custom.xml><?xml version="1.0" encoding="utf-8"?>
<Properties xmlns="http://schemas.openxmlformats.org/officeDocument/2006/custom-properties" xmlns:vt="http://schemas.openxmlformats.org/officeDocument/2006/docPropsVTypes"/>
</file>